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MONITOROVACÍ LIST PODPOŘENÉ OSOBY</w:t>
      </w:r>
    </w:p>
    <w:tbl>
      <w:tblPr>
        <w:tblStyle w:val="Table1"/>
        <w:tblW w:w="970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990"/>
        <w:gridCol w:w="285"/>
        <w:gridCol w:w="2700"/>
        <w:gridCol w:w="1560"/>
        <w:gridCol w:w="2175"/>
        <w:tblGridChange w:id="0">
          <w:tblGrid>
            <w:gridCol w:w="1995"/>
            <w:gridCol w:w="990"/>
            <w:gridCol w:w="285"/>
            <w:gridCol w:w="2700"/>
            <w:gridCol w:w="1560"/>
            <w:gridCol w:w="217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Identifikace projektu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Registrační číslo projektu</w:t>
            </w:r>
          </w:p>
        </w:tc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CZ.03.02.01/00/22_008/0000038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Název projektu</w:t>
            </w:r>
          </w:p>
        </w:tc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Projekt OPZ+ MAS Východní Slovácko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Příjemce podpory (název)</w:t>
            </w:r>
          </w:p>
        </w:tc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 Východní Slovácko, z.s.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6"/>
            <w:shd w:fill="d9d9d9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Základní údaje o podpořené osobě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Jméno a příjmení </w:t>
            </w:r>
          </w:p>
        </w:tc>
        <w:tc>
          <w:tcPr>
            <w:gridSpan w:val="5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Datum narození</w:t>
            </w:r>
          </w:p>
        </w:tc>
        <w:tc>
          <w:tcPr>
            <w:gridSpan w:val="5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restart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Místo trvalého pobytu</w:t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Ulice</w:t>
            </w:r>
          </w:p>
        </w:tc>
        <w:tc>
          <w:tcPr>
            <w:gridSpan w:val="2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Číslo popisné</w:t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Město</w:t>
            </w:r>
          </w:p>
        </w:tc>
        <w:tc>
          <w:tcPr>
            <w:gridSpan w:val="2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PSČ</w:t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3"/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shd w:fill="auto" w:val="clear"/>
            <w:tcMar>
              <w:top w:w="11.0" w:type="dxa"/>
              <w:left w:w="57.0" w:type="dxa"/>
              <w:bottom w:w="11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7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97"/>
        <w:tblGridChange w:id="0">
          <w:tblGrid>
            <w:gridCol w:w="8997"/>
          </w:tblGrid>
        </w:tblGridChange>
      </w:tblGrid>
      <w:tr>
        <w:trPr>
          <w:cantSplit w:val="1"/>
          <w:trHeight w:val="27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5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Údaje zaznamenávané nejpozději před ukončením účasti osoby v projektu  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firstLine="14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Stav je zjišťován k datu zahájení účasti osoby v projektu.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-3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6510"/>
        <w:tblGridChange w:id="0">
          <w:tblGrid>
            <w:gridCol w:w="3255"/>
            <w:gridCol w:w="6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Pohlaví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Podpořená osoba může patřit pouze do jedné z vymezených skupin.</w:t>
            </w:r>
          </w:p>
        </w:tc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muž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žena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Postavení na trhu práce 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Podpořená osoba může patřit 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V případě souběhu se uvádí převažující charakteristika.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☐ zaměstnání, včetně osob samostatně výdělečně činných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ind w:left="36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zaměstnanci 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left="36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samostatně výdělečně činné 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36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na mateřské dovolené, které byly před nástupem na MD zaměstnané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ind w:left="36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na mateřské dovolené, které byly před nástupem na MD OSVČ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☐ krátkodobě nezaměstnaní registrovaní na Úřadu práce ČR 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(tj. osoby registrované na ÚP ČR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méně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než 12 měsíců)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☐ dlouhodobě nezaměstnaní registrovaní na Úřadu práce ČR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(tj. osoby registrované na ÚP ČR 12 a více měsíců)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☐ neaktivní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ind w:left="708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žáci, studenti, učni (denní studium)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ind w:left="708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ve starobním důchodu, neregistrované na ÚP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ind w:left="708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v invalidním důchodu, neregistrované na ÚP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ind w:left="708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na rodičovské dovolené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ind w:left="708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ostatní neaktivní osoby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Nejvyšší dosažené vzdělání</w:t>
            </w:r>
          </w:p>
          <w:p w:rsidR="00000000" w:rsidDel="00000000" w:rsidP="00000000" w:rsidRDefault="00000000" w:rsidRPr="00000000" w14:paraId="0000005B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Podpořená osoba musí patřit do jedné z vymezených skupin.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bez vzdělání (nedokončený 1. stupeň základní školy)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základní vzdělání včetně nedokončeného 2. stupně ZŠ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středoškolské vzdělání vč. vyučení, maturity anebo pomaturitního studia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vyšší odborné, bakalářské, magisterské, doktorské studium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keepNext w:val="1"/>
              <w:spacing w:after="0" w:lineRule="auto"/>
              <w:jc w:val="lef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vzdělání jinde neuvedené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5" w:hRule="atLeast"/>
          <w:tblHeader w:val="0"/>
        </w:trPr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Znevýhodnění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Podpořená osoba může patřit do více vymezených skupin (příp. do žádné).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0" w:type="dxa"/>
              <w:left w:w="57.0" w:type="dxa"/>
              <w:bottom w:w="28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se zdravotním postižením**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národnostní menšiny (včetně marginalizovaných komunit jako jsou Romové)**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státní příslušníci třetích zemí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účastníci zahraničního původu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bez domova nebo osoby vyloučené z přístupu k bydlení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osoby s jiným znevýhodněním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1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☐ osoby po výkonu trestu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☐ osoby ohrožené závislostí 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☐ osoby s jiným znevýhodněním, kvůli kterému čelí        sociálnímu vyloučení </w:t>
            </w:r>
          </w:p>
        </w:tc>
      </w:tr>
    </w:tbl>
    <w:p w:rsidR="00000000" w:rsidDel="00000000" w:rsidP="00000000" w:rsidRDefault="00000000" w:rsidRPr="00000000" w14:paraId="0000006E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** Citlivé údaje – účastník může odmítnout je poskytnout.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-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0"/>
        <w:gridCol w:w="855"/>
        <w:gridCol w:w="4080"/>
        <w:tblGridChange w:id="0">
          <w:tblGrid>
            <w:gridCol w:w="4800"/>
            <w:gridCol w:w="855"/>
            <w:gridCol w:w="4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 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dne </w:t>
            </w:r>
          </w:p>
        </w:tc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Podpis</w:t>
            </w:r>
          </w:p>
        </w:tc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200" w:line="276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59" w:lineRule="auto"/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810.0" w:type="dxa"/>
        <w:jc w:val="left"/>
        <w:tblInd w:w="-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8">
            <w:pPr>
              <w:keepNext w:val="1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Totožnost a kontaktní údaje správce osobních údajů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9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Ministerstvo práce a sociálních věcí</w:t>
            </w:r>
          </w:p>
          <w:p w:rsidR="00000000" w:rsidDel="00000000" w:rsidP="00000000" w:rsidRDefault="00000000" w:rsidRPr="00000000" w14:paraId="0000007A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Poříčním právu 1/376</w:t>
            </w:r>
          </w:p>
          <w:p w:rsidR="00000000" w:rsidDel="00000000" w:rsidP="00000000" w:rsidRDefault="00000000" w:rsidRPr="00000000" w14:paraId="0000007B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128 01 Praha 2 </w:t>
            </w:r>
          </w:p>
          <w:p w:rsidR="00000000" w:rsidDel="00000000" w:rsidP="00000000" w:rsidRDefault="00000000" w:rsidRPr="00000000" w14:paraId="0000007C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Datová schránka: sc9aavg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D">
            <w:pPr>
              <w:keepNext w:val="1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Kontaktní údaje pověřence pro ochranu osobních údajů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E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Kontaktní údaje pověřence jsou uveřejněny na webových stránkách: https://www.mpsv.cz/web/cz/informace-o-zpracovani-osobnich-udaju-gdpr-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7F">
            <w:pPr>
              <w:keepNext w:val="1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Účel zpracování osobních údajů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0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Monitorovacím listu podpořené osoby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Právní základ pro zpracování osobních údajů</w:t>
            </w:r>
          </w:p>
        </w:tc>
      </w:tr>
      <w:tr>
        <w:trPr>
          <w:cantSplit w:val="1"/>
          <w:tblHeader w:val="0"/>
        </w:trPr>
        <w:tc>
          <w:tcPr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</w:tbl>
    <w:p w:rsidR="00000000" w:rsidDel="00000000" w:rsidP="00000000" w:rsidRDefault="00000000" w:rsidRPr="00000000" w14:paraId="0000008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5.0" w:type="dxa"/>
        <w:jc w:val="left"/>
        <w:tblInd w:w="-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Doba uchovávání osobních údajů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Poučení o právech podle čl. 13 a 14 Obecného nařízení o ochraně osobních údajů</w:t>
            </w:r>
          </w:p>
        </w:tc>
      </w:tr>
      <w:tr>
        <w:trPr>
          <w:cantSplit w:val="1"/>
          <w:tblHeader w:val="0"/>
        </w:trPr>
        <w:tc>
          <w:tcPr>
            <w:tcMar>
              <w:top w:w="28.0" w:type="dxa"/>
              <w:bottom w:w="28.0" w:type="dxa"/>
            </w:tcMar>
          </w:tcPr>
          <w:p w:rsidR="00000000" w:rsidDel="00000000" w:rsidP="00000000" w:rsidRDefault="00000000" w:rsidRPr="00000000" w14:paraId="00000088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:rsidR="00000000" w:rsidDel="00000000" w:rsidP="00000000" w:rsidRDefault="00000000" w:rsidRPr="00000000" w14:paraId="00000089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000000" w:rsidDel="00000000" w:rsidP="00000000" w:rsidRDefault="00000000" w:rsidRPr="00000000" w14:paraId="0000008A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esf@mpsv.cz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Pokud se podpořená osoba domnívá, že zpracováním jejích osobních údajů bylo porušeno Obecné nařízení o ochraně osobních údajů, má právo podat stížnost u Úřadu pro ochranu osobních údajů.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Neposkytnutí osobních údajů může mít za následek nepodpoření v rámci projektu.</w:t>
            </w:r>
          </w:p>
        </w:tc>
      </w:tr>
      <w:tr>
        <w:trPr>
          <w:cantSplit w:val="1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Využití informačních systémů MPSV a ČSSZ</w:t>
            </w:r>
          </w:p>
        </w:tc>
      </w:tr>
      <w:tr>
        <w:trPr>
          <w:cantSplit w:val="1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417.3228346456694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072.0" w:type="dxa"/>
      <w:jc w:val="left"/>
      <w:tblLayout w:type="fixed"/>
      <w:tblLook w:val="0400"/>
    </w:tblPr>
    <w:tblGrid>
      <w:gridCol w:w="3024"/>
      <w:gridCol w:w="3025"/>
      <w:gridCol w:w="3023"/>
      <w:tblGridChange w:id="0">
        <w:tblGrid>
          <w:gridCol w:w="3024"/>
          <w:gridCol w:w="3025"/>
          <w:gridCol w:w="3023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0" w:right="57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Vzor účinný od 1. 4. 2022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57" w:right="57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57" w:right="57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Strana: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z 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708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072.0" w:type="dxa"/>
      <w:jc w:val="left"/>
      <w:tblLayout w:type="fixed"/>
      <w:tblLook w:val="0400"/>
    </w:tblPr>
    <w:tblGrid>
      <w:gridCol w:w="3024"/>
      <w:gridCol w:w="3025"/>
      <w:gridCol w:w="3023"/>
      <w:tblGridChange w:id="0">
        <w:tblGrid>
          <w:gridCol w:w="3024"/>
          <w:gridCol w:w="3025"/>
          <w:gridCol w:w="3023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0" w:right="57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Vzor účinný od 1. 4. 2022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57" w:right="57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60" w:line="240" w:lineRule="auto"/>
            <w:ind w:left="57" w:right="57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Strana: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z 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80808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Osoba je považovaná za neaktivní, když není zaměstnaná (včetně OSVČ), ani registrovaná na Úřadu práce ČR (jako uchazeč o zaměstnání).</w:t>
      </w:r>
    </w:p>
  </w:footnote>
  <w:footnote w:id="1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2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„ISCED 1–2“ pokrývá nedokončené základní vzdělání až střední vzdělání bez maturity i výučního listu tj. praktické jednoleté. </w:t>
      </w:r>
    </w:p>
  </w:footnote>
  <w:footnote w:id="3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„ISCED 3–4“ pokrývá střední vzdělání bez maturity i výučního listu tj. praktické dvouleté až pomaturitní a nástavbové studium.</w:t>
      </w:r>
    </w:p>
  </w:footnote>
  <w:footnote w:id="4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„ISCED 5–8“ pokrývá vyšší odborné vzdělání až vysokoškolské doktorské vzdělání (včetně vzdělání uvedeným stupňům odpovídajícího).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ISCED 9 – vzdělání jinde neuvedené.</w:t>
      </w:r>
    </w:p>
  </w:footnote>
  <w:footnote w:id="6"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7"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8"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9"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Osoby, jejichž rodiče se narodili mimo ČR nebo osoby, které mají české občanství, nicméně původem jsou cizinci </w:t>
      </w:r>
    </w:p>
  </w:footnote>
  <w:footnote w:id="10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06.06299212598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Jedná se o osoby s jiným znevýhodněním, které kvůli svému znevýhodnění čelí sociálnímu vyloučení (např. osoby po výkonu trestu, osoby ohrožené závislostí, osoby s nedokončeným 1. stupněm základní školy atd.).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5136F4"/>
    <w:pPr>
      <w:spacing w:after="220" w:line="240" w:lineRule="auto"/>
      <w:jc w:val="both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 w:val="1"/>
    <w:qFormat w:val="1"/>
    <w:rsid w:val="00F90DE6"/>
    <w:pPr>
      <w:spacing w:after="0"/>
    </w:pPr>
    <w:rPr>
      <w:sz w:val="20"/>
      <w:szCs w:val="20"/>
    </w:rPr>
  </w:style>
  <w:style w:type="character" w:styleId="TextpoznpodarouChar" w:customStyle="1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 w:val="1"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F90DE6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 w:val="1"/>
    <w:rsid w:val="00F90DE6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F90DE6"/>
  </w:style>
  <w:style w:type="paragraph" w:styleId="Tabulkatext" w:customStyle="1">
    <w:name w:val="Tabulka text"/>
    <w:link w:val="TabulkatextChar"/>
    <w:uiPriority w:val="6"/>
    <w:qFormat w:val="1"/>
    <w:rsid w:val="00DF7652"/>
    <w:pPr>
      <w:spacing w:after="60" w:before="60" w:line="240" w:lineRule="auto"/>
      <w:ind w:left="57" w:right="57"/>
    </w:pPr>
    <w:rPr>
      <w:color w:val="080808"/>
      <w:sz w:val="20"/>
    </w:rPr>
  </w:style>
  <w:style w:type="character" w:styleId="TabulkatextChar" w:customStyle="1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 w:val="1"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 w:val="1"/>
    <w:rsid w:val="005136F4"/>
    <w:pPr>
      <w:ind w:left="720"/>
      <w:contextualSpacing w:val="1"/>
    </w:pPr>
  </w:style>
  <w:style w:type="character" w:styleId="OdstavecseseznamemChar" w:customStyle="1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styleId="Tabulkatext16" w:customStyle="1">
    <w:name w:val="Tabulka text16"/>
    <w:uiPriority w:val="6"/>
    <w:qFormat w:val="1"/>
    <w:rsid w:val="005136F4"/>
    <w:pPr>
      <w:spacing w:after="60" w:before="60" w:line="240" w:lineRule="auto"/>
      <w:ind w:left="57" w:right="57"/>
    </w:pPr>
    <w:rPr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esf@mpsv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3UOJGZKNsPbsWkK/gz1UkLQ6qQ==">AMUW2mUxmXvpTadbZeyPQxmtPxRAJK1YTBjtmHBgWurS4ywCTOfgs2aWISVE8E302NYVBkGHM04liMetHBXkFnRl7nzZ+GuO8QAF3jpcHKHjiJWhCqRI9Pg=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2022-11-23T16:07:00Z</dcterms:created>
</cp:coreProperties>
</file>