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header3.xml" ContentType="application/vnd.openxmlformats-officedocument.wordprocessingml.header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40" w:before="0" w:after="0"/>
        <w:ind w:firstLine="1474"/>
        <w:jc w:val="end"/>
        <w:rPr>
          <w:sz w:val="56"/>
          <w:szCs w:val="56"/>
        </w:rPr>
      </w:pPr>
      <w:r>
        <w:rPr>
          <w:rFonts w:ascii="Source Sans Pro Black" w:hAnsi="Source Sans Pro Black"/>
          <w:sz w:val="56"/>
          <w:szCs w:val="56"/>
        </w:rPr>
        <w:t>Přihláška a smlouva o účasti na nepobytovém táboře</w:t>
      </w:r>
    </w:p>
    <w:p>
      <w:pPr>
        <w:pStyle w:val="Normal"/>
        <w:spacing w:lineRule="auto" w:line="240" w:before="0" w:after="0"/>
        <w:jc w:val="both"/>
        <w:rPr>
          <w:rFonts w:ascii="Source Serif Pro" w:hAnsi="Source Serif Pro"/>
        </w:rPr>
      </w:pPr>
      <w:r>
        <w:rPr>
          <w:rFonts w:ascii="Source Serif Pro" w:hAnsi="Source Serif Pro"/>
        </w:rPr>
      </w:r>
    </w:p>
    <w:tbl>
      <w:tblPr>
        <w:tblStyle w:val="Mkatabulky"/>
        <w:tblW w:w="9062" w:type="dxa"/>
        <w:jc w:val="start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firstRow="1" w:noVBand="1" w:lastRow="0" w:firstColumn="1" w:lastColumn="0" w:noHBand="0" w:val="04a0"/>
      </w:tblPr>
      <w:tblGrid>
        <w:gridCol w:w="2547"/>
        <w:gridCol w:w="6515"/>
      </w:tblGrid>
      <w:tr>
        <w:trPr/>
        <w:tc>
          <w:tcPr>
            <w:tcW w:w="9062" w:type="dxa"/>
            <w:gridSpan w:val="2"/>
            <w:tcBorders/>
            <w:shd w:color="auto" w:fill="E7E6E6" w:themeFill="background2" w:val="clear"/>
          </w:tcPr>
          <w:p>
            <w:pPr>
              <w:pStyle w:val="Normal"/>
              <w:widowControl/>
              <w:suppressAutoHyphens w:val="true"/>
              <w:spacing w:lineRule="auto" w:line="240" w:before="60" w:after="60"/>
              <w:jc w:val="both"/>
              <w:rPr>
                <w:rFonts w:ascii="Source Serif Pro" w:hAnsi="Source Serif Pro"/>
              </w:rPr>
            </w:pPr>
            <w:r>
              <w:rPr>
                <w:rFonts w:eastAsia="Calibri" w:cs="" w:ascii="Source Serif Pro" w:hAnsi="Source Serif Pro"/>
                <w:i/>
                <w:iCs/>
                <w:kern w:val="0"/>
                <w:sz w:val="22"/>
                <w:szCs w:val="22"/>
                <w:lang w:val="cs-CZ" w:eastAsia="en-US" w:bidi="ar-SA"/>
              </w:rPr>
              <w:t>Organizátor</w:t>
            </w:r>
          </w:p>
        </w:tc>
      </w:tr>
      <w:tr>
        <w:trPr/>
        <w:tc>
          <w:tcPr>
            <w:tcW w:w="254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60" w:after="60"/>
              <w:jc w:val="both"/>
              <w:rPr>
                <w:rFonts w:ascii="Source Serif Pro" w:hAnsi="Source Serif Pro"/>
                <w:i/>
                <w:iCs/>
              </w:rPr>
            </w:pPr>
            <w:r>
              <w:rPr>
                <w:rFonts w:eastAsia="Calibri" w:cs="" w:ascii="Source Serif Pro" w:hAnsi="Source Serif Pro"/>
                <w:i/>
                <w:iCs/>
                <w:kern w:val="0"/>
                <w:sz w:val="22"/>
                <w:szCs w:val="22"/>
                <w:lang w:val="cs-CZ" w:eastAsia="en-US" w:bidi="ar-SA"/>
              </w:rPr>
              <w:t>Název organizace:</w:t>
            </w:r>
          </w:p>
        </w:tc>
        <w:tc>
          <w:tcPr>
            <w:tcW w:w="651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60" w:after="60"/>
              <w:jc w:val="both"/>
              <w:rPr>
                <w:rFonts w:ascii="Source Serif Pro" w:hAnsi="Source Serif Pro"/>
              </w:rPr>
            </w:pPr>
            <w:r>
              <w:rPr>
                <w:rFonts w:eastAsia="Calibri" w:cs="" w:ascii="Source Serif Pro" w:hAnsi="Source Serif Pro"/>
                <w:kern w:val="0"/>
                <w:sz w:val="22"/>
                <w:szCs w:val="22"/>
                <w:lang w:val="cs-CZ" w:eastAsia="en-US" w:bidi="ar-SA"/>
              </w:rPr>
              <w:t>MAS Východní Slovácko, z.s.</w:t>
            </w:r>
          </w:p>
        </w:tc>
      </w:tr>
      <w:tr>
        <w:trPr/>
        <w:tc>
          <w:tcPr>
            <w:tcW w:w="254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60" w:after="60"/>
              <w:jc w:val="both"/>
              <w:rPr>
                <w:rFonts w:ascii="Source Serif Pro" w:hAnsi="Source Serif Pro"/>
                <w:i/>
                <w:iCs/>
              </w:rPr>
            </w:pPr>
            <w:r>
              <w:rPr>
                <w:rFonts w:eastAsia="Calibri" w:cs="" w:ascii="Source Serif Pro" w:hAnsi="Source Serif Pro"/>
                <w:i/>
                <w:iCs/>
                <w:kern w:val="0"/>
                <w:sz w:val="22"/>
                <w:szCs w:val="22"/>
                <w:lang w:val="cs-CZ" w:eastAsia="en-US" w:bidi="ar-SA"/>
              </w:rPr>
              <w:t>IČO:</w:t>
            </w:r>
          </w:p>
        </w:tc>
        <w:tc>
          <w:tcPr>
            <w:tcW w:w="651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60" w:after="60"/>
              <w:jc w:val="both"/>
              <w:rPr>
                <w:rFonts w:ascii="Source Serif Pro" w:hAnsi="Source Serif Pro"/>
              </w:rPr>
            </w:pPr>
            <w:r>
              <w:rPr>
                <w:rFonts w:eastAsia="Calibri" w:cs="" w:ascii="Source Serif Pro" w:hAnsi="Source Serif Pro"/>
                <w:kern w:val="0"/>
                <w:sz w:val="22"/>
                <w:szCs w:val="22"/>
                <w:lang w:val="cs-CZ" w:eastAsia="en-US" w:bidi="ar-SA"/>
              </w:rPr>
              <w:t>27015777</w:t>
            </w:r>
          </w:p>
        </w:tc>
      </w:tr>
      <w:tr>
        <w:trPr/>
        <w:tc>
          <w:tcPr>
            <w:tcW w:w="254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60" w:after="60"/>
              <w:jc w:val="both"/>
              <w:rPr>
                <w:rFonts w:ascii="Source Serif Pro" w:hAnsi="Source Serif Pro"/>
                <w:i/>
                <w:iCs/>
              </w:rPr>
            </w:pPr>
            <w:r>
              <w:rPr>
                <w:rFonts w:eastAsia="Calibri" w:cs="" w:ascii="Source Serif Pro" w:hAnsi="Source Serif Pro"/>
                <w:i/>
                <w:iCs/>
                <w:kern w:val="0"/>
                <w:sz w:val="22"/>
                <w:szCs w:val="22"/>
                <w:lang w:val="cs-CZ" w:eastAsia="en-US" w:bidi="ar-SA"/>
              </w:rPr>
              <w:t>Adresa sídla:</w:t>
            </w:r>
          </w:p>
        </w:tc>
        <w:tc>
          <w:tcPr>
            <w:tcW w:w="651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60" w:after="60"/>
              <w:jc w:val="both"/>
              <w:rPr>
                <w:rFonts w:ascii="Source Serif Pro" w:hAnsi="Source Serif Pro"/>
              </w:rPr>
            </w:pPr>
            <w:r>
              <w:rPr>
                <w:rFonts w:eastAsia="Calibri" w:cs="" w:ascii="Source Serif Pro" w:hAnsi="Source Serif Pro"/>
                <w:kern w:val="0"/>
                <w:sz w:val="22"/>
                <w:szCs w:val="22"/>
                <w:lang w:val="cs-CZ" w:eastAsia="en-US" w:bidi="ar-SA"/>
              </w:rPr>
              <w:t>Suchá Loz 72, 687 53 Suchá Loz</w:t>
            </w:r>
          </w:p>
        </w:tc>
      </w:tr>
      <w:tr>
        <w:trPr/>
        <w:tc>
          <w:tcPr>
            <w:tcW w:w="254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60" w:after="60"/>
              <w:jc w:val="both"/>
              <w:rPr>
                <w:rFonts w:ascii="Source Serif Pro" w:hAnsi="Source Serif Pro"/>
                <w:i/>
                <w:iCs/>
              </w:rPr>
            </w:pPr>
            <w:r>
              <w:rPr>
                <w:rFonts w:eastAsia="Calibri" w:cs="" w:ascii="Source Serif Pro" w:hAnsi="Source Serif Pro"/>
                <w:i/>
                <w:iCs/>
                <w:kern w:val="0"/>
                <w:sz w:val="22"/>
                <w:szCs w:val="22"/>
                <w:lang w:val="cs-CZ" w:eastAsia="en-US" w:bidi="ar-SA"/>
              </w:rPr>
              <w:t>Datová schránka</w:t>
            </w:r>
          </w:p>
        </w:tc>
        <w:tc>
          <w:tcPr>
            <w:tcW w:w="651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60" w:after="60"/>
              <w:jc w:val="both"/>
              <w:rPr>
                <w:rFonts w:ascii="Source Serif Pro" w:hAnsi="Source Serif Pro"/>
              </w:rPr>
            </w:pPr>
            <w:r>
              <w:rPr>
                <w:rFonts w:eastAsia="Calibri" w:cs="" w:ascii="Source Serif Pro" w:hAnsi="Source Serif Pro"/>
                <w:kern w:val="0"/>
                <w:sz w:val="22"/>
                <w:szCs w:val="22"/>
                <w:lang w:val="cs-CZ" w:eastAsia="en-US" w:bidi="ar-SA"/>
              </w:rPr>
              <w:t>vimdhw6</w:t>
            </w:r>
          </w:p>
        </w:tc>
      </w:tr>
      <w:tr>
        <w:trPr/>
        <w:tc>
          <w:tcPr>
            <w:tcW w:w="9062" w:type="dxa"/>
            <w:gridSpan w:val="2"/>
            <w:tcBorders/>
          </w:tcPr>
          <w:p>
            <w:pPr>
              <w:pStyle w:val="Normal"/>
              <w:widowControl/>
              <w:suppressAutoHyphens w:val="true"/>
              <w:spacing w:lineRule="auto" w:line="240" w:before="60" w:after="60"/>
              <w:jc w:val="both"/>
              <w:rPr>
                <w:rFonts w:ascii="Source Serif Pro" w:hAnsi="Source Serif Pro"/>
                <w:i/>
                <w:iCs/>
              </w:rPr>
            </w:pPr>
            <w:r>
              <w:rPr>
                <w:rFonts w:eastAsia="Calibri" w:cs="" w:ascii="Source Serif Pro" w:hAnsi="Source Serif Pro"/>
                <w:i/>
                <w:iCs/>
                <w:kern w:val="0"/>
                <w:sz w:val="22"/>
                <w:szCs w:val="22"/>
                <w:lang w:val="cs-CZ" w:eastAsia="en-US" w:bidi="ar-SA"/>
              </w:rPr>
              <w:t>(dále jen „organizátor“)</w:t>
            </w:r>
          </w:p>
        </w:tc>
      </w:tr>
    </w:tbl>
    <w:p>
      <w:pPr>
        <w:pStyle w:val="Normal"/>
        <w:spacing w:lineRule="auto" w:line="240" w:before="120" w:after="120"/>
        <w:jc w:val="both"/>
        <w:rPr>
          <w:rFonts w:ascii="Source Serif Pro" w:hAnsi="Source Serif Pro"/>
        </w:rPr>
      </w:pPr>
      <w:r>
        <w:rPr>
          <w:rFonts w:ascii="Source Serif Pro" w:hAnsi="Source Serif Pro"/>
        </w:rPr>
        <w:t>a</w:t>
      </w:r>
    </w:p>
    <w:tbl>
      <w:tblPr>
        <w:tblStyle w:val="Mkatabulky"/>
        <w:tblW w:w="9062" w:type="dxa"/>
        <w:jc w:val="start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firstRow="1" w:noVBand="1" w:lastRow="0" w:firstColumn="1" w:lastColumn="0" w:noHBand="0" w:val="04a0"/>
      </w:tblPr>
      <w:tblGrid>
        <w:gridCol w:w="2685"/>
        <w:gridCol w:w="6377"/>
      </w:tblGrid>
      <w:tr>
        <w:trPr>
          <w:trHeight w:val="397" w:hRule="atLeast"/>
        </w:trPr>
        <w:tc>
          <w:tcPr>
            <w:tcW w:w="9062" w:type="dxa"/>
            <w:gridSpan w:val="2"/>
            <w:tcBorders/>
            <w:shd w:color="auto" w:fill="E7E6E6" w:themeFill="background2" w:val="clear"/>
          </w:tcPr>
          <w:p>
            <w:pPr>
              <w:pStyle w:val="Normal"/>
              <w:widowControl/>
              <w:suppressAutoHyphens w:val="true"/>
              <w:spacing w:lineRule="auto" w:line="240" w:before="60" w:after="60"/>
              <w:jc w:val="both"/>
              <w:rPr>
                <w:rFonts w:ascii="Source Serif Pro" w:hAnsi="Source Serif Pro"/>
                <w:i/>
                <w:iCs/>
              </w:rPr>
            </w:pPr>
            <w:r>
              <w:rPr>
                <w:rFonts w:eastAsia="Calibri" w:cs="" w:ascii="Source Serif Pro" w:hAnsi="Source Serif Pro"/>
                <w:i/>
                <w:iCs/>
                <w:kern w:val="0"/>
                <w:sz w:val="22"/>
                <w:szCs w:val="22"/>
                <w:lang w:val="cs-CZ" w:eastAsia="en-US" w:bidi="ar-SA"/>
              </w:rPr>
              <w:t>Zákonný zástupce účastníka tábora (dále jen „zákonný zástupce“)</w:t>
            </w:r>
          </w:p>
        </w:tc>
      </w:tr>
      <w:tr>
        <w:trPr>
          <w:trHeight w:val="896" w:hRule="atLeast"/>
        </w:trPr>
        <w:tc>
          <w:tcPr>
            <w:tcW w:w="268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60" w:after="60"/>
              <w:jc w:val="both"/>
              <w:rPr>
                <w:rFonts w:ascii="Source Serif Pro" w:hAnsi="Source Serif Pro"/>
                <w:i/>
                <w:iCs/>
              </w:rPr>
            </w:pPr>
            <w:r>
              <w:rPr>
                <w:rFonts w:eastAsia="Calibri" w:cs="" w:ascii="Source Serif Pro" w:hAnsi="Source Serif Pro"/>
                <w:i/>
                <w:iCs/>
                <w:kern w:val="0"/>
                <w:sz w:val="22"/>
                <w:szCs w:val="22"/>
                <w:lang w:val="cs-CZ" w:eastAsia="en-US" w:bidi="ar-SA"/>
              </w:rPr>
              <w:t>Jméno a příjmení:</w:t>
            </w:r>
          </w:p>
        </w:tc>
        <w:tc>
          <w:tcPr>
            <w:tcW w:w="637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60" w:after="60"/>
              <w:jc w:val="start"/>
              <w:rPr>
                <w:rFonts w:ascii="Source Serif Pro" w:hAnsi="Source Serif Pro"/>
              </w:rPr>
            </w:pPr>
            <w:r>
              <w:rPr>
                <w:rFonts w:ascii="Source Serif Pro" w:hAnsi="Source Serif Pro"/>
              </w:rPr>
            </w:r>
          </w:p>
        </w:tc>
      </w:tr>
      <w:tr>
        <w:trPr>
          <w:trHeight w:val="896" w:hRule="atLeast"/>
        </w:trPr>
        <w:tc>
          <w:tcPr>
            <w:tcW w:w="268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60" w:after="60"/>
              <w:jc w:val="start"/>
              <w:rPr>
                <w:rFonts w:ascii="Source Serif Pro" w:hAnsi="Source Serif Pro"/>
                <w:i/>
                <w:iCs/>
              </w:rPr>
            </w:pPr>
            <w:r>
              <w:rPr>
                <w:rFonts w:eastAsia="Calibri" w:cs="" w:ascii="Source Serif Pro" w:hAnsi="Source Serif Pro"/>
                <w:i/>
                <w:iCs/>
                <w:kern w:val="0"/>
                <w:sz w:val="22"/>
                <w:szCs w:val="22"/>
                <w:lang w:val="cs-CZ" w:eastAsia="en-US" w:bidi="ar-SA"/>
              </w:rPr>
              <w:t>Datum narození:</w:t>
            </w:r>
          </w:p>
        </w:tc>
        <w:tc>
          <w:tcPr>
            <w:tcW w:w="637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60" w:after="60"/>
              <w:jc w:val="start"/>
              <w:rPr>
                <w:rFonts w:ascii="Source Serif Pro" w:hAnsi="Source Serif Pro"/>
              </w:rPr>
            </w:pPr>
            <w:r>
              <w:rPr>
                <w:rFonts w:ascii="Source Serif Pro" w:hAnsi="Source Serif Pro"/>
              </w:rPr>
            </w:r>
          </w:p>
        </w:tc>
      </w:tr>
      <w:tr>
        <w:trPr>
          <w:trHeight w:val="896" w:hRule="atLeast"/>
        </w:trPr>
        <w:tc>
          <w:tcPr>
            <w:tcW w:w="268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60" w:after="60"/>
              <w:jc w:val="start"/>
              <w:rPr>
                <w:rFonts w:ascii="Source Serif Pro" w:hAnsi="Source Serif Pro"/>
                <w:i/>
                <w:iCs/>
              </w:rPr>
            </w:pPr>
            <w:r>
              <w:rPr>
                <w:rFonts w:eastAsia="Calibri" w:cs="" w:ascii="Source Serif Pro" w:hAnsi="Source Serif Pro"/>
                <w:i/>
                <w:iCs/>
                <w:kern w:val="0"/>
                <w:sz w:val="22"/>
                <w:szCs w:val="22"/>
                <w:lang w:val="cs-CZ" w:eastAsia="en-US" w:bidi="ar-SA"/>
              </w:rPr>
              <w:t>Trvalý pobyt:</w:t>
            </w:r>
          </w:p>
        </w:tc>
        <w:tc>
          <w:tcPr>
            <w:tcW w:w="637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60" w:after="60"/>
              <w:jc w:val="start"/>
              <w:rPr>
                <w:rFonts w:ascii="Source Serif Pro" w:hAnsi="Source Serif Pro"/>
              </w:rPr>
            </w:pPr>
            <w:r>
              <w:rPr>
                <w:rFonts w:ascii="Source Serif Pro" w:hAnsi="Source Serif Pro"/>
              </w:rPr>
            </w:r>
          </w:p>
        </w:tc>
      </w:tr>
      <w:tr>
        <w:trPr>
          <w:trHeight w:val="397" w:hRule="atLeast"/>
        </w:trPr>
        <w:tc>
          <w:tcPr>
            <w:tcW w:w="2685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60" w:after="60"/>
              <w:jc w:val="start"/>
              <w:rPr>
                <w:rFonts w:ascii="Source Serif Pro" w:hAnsi="Source Serif Pro"/>
                <w:i/>
                <w:iCs/>
              </w:rPr>
            </w:pPr>
            <w:r>
              <w:rPr>
                <w:rFonts w:eastAsia="Calibri" w:cs="" w:ascii="Source Serif Pro" w:hAnsi="Source Serif Pro"/>
                <w:i/>
                <w:iCs/>
                <w:kern w:val="0"/>
                <w:sz w:val="22"/>
                <w:szCs w:val="22"/>
                <w:lang w:val="cs-CZ" w:eastAsia="en-US" w:bidi="ar-SA"/>
              </w:rPr>
              <w:t>Vazba na území regionu MAS (zvolte alespoň jednu možnost):</w:t>
            </w:r>
          </w:p>
        </w:tc>
        <w:tc>
          <w:tcPr>
            <w:tcW w:w="6377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60" w:after="60"/>
              <w:jc w:val="start"/>
              <w:rPr>
                <w:rFonts w:ascii="Source Serif Pro" w:hAnsi="Source Serif Pro"/>
                <w:i/>
                <w:iCs/>
              </w:rPr>
            </w:pPr>
            <w:r>
              <w:rPr>
                <w:rFonts w:eastAsia="Calibri" w:cs="" w:ascii="Source Serif Pro" w:hAnsi="Source Serif Pro"/>
                <w:i/>
                <w:iCs/>
                <w:kern w:val="0"/>
                <w:sz w:val="22"/>
                <w:szCs w:val="22"/>
                <w:lang w:val="cs-CZ" w:eastAsia="en-US" w:bidi="ar-SA"/>
              </w:rPr>
              <w:t>1) trvalý pobyt v regionu MAS</w:t>
            </w:r>
          </w:p>
          <w:p>
            <w:pPr>
              <w:pStyle w:val="Normal"/>
              <w:widowControl/>
              <w:suppressAutoHyphens w:val="true"/>
              <w:spacing w:lineRule="auto" w:line="240" w:before="60" w:after="60"/>
              <w:jc w:val="start"/>
              <w:rPr>
                <w:rFonts w:ascii="Source Serif Pro" w:hAnsi="Source Serif Pro"/>
                <w:i/>
                <w:iCs/>
              </w:rPr>
            </w:pPr>
            <w:r>
              <w:rPr>
                <w:rFonts w:eastAsia="Calibri" w:cs="" w:ascii="Source Serif Pro" w:hAnsi="Source Serif Pro"/>
                <w:i/>
                <w:iCs/>
                <w:kern w:val="0"/>
                <w:sz w:val="22"/>
                <w:szCs w:val="22"/>
                <w:lang w:val="cs-CZ" w:eastAsia="en-US" w:bidi="ar-SA"/>
              </w:rPr>
              <w:t>2) rodič dítěte účastnícího se tábora pracuje v regionu MAS</w:t>
            </w:r>
          </w:p>
          <w:p>
            <w:pPr>
              <w:pStyle w:val="Normal"/>
              <w:widowControl/>
              <w:suppressAutoHyphens w:val="true"/>
              <w:spacing w:lineRule="auto" w:line="240" w:before="60" w:after="60"/>
              <w:jc w:val="start"/>
              <w:rPr>
                <w:rFonts w:ascii="Source Serif Pro" w:hAnsi="Source Serif Pro"/>
                <w:i/>
                <w:iCs/>
              </w:rPr>
            </w:pPr>
            <w:r>
              <w:rPr>
                <w:rFonts w:eastAsia="Calibri" w:cs="" w:ascii="Source Serif Pro" w:hAnsi="Source Serif Pro"/>
                <w:i/>
                <w:iCs/>
                <w:kern w:val="0"/>
                <w:sz w:val="22"/>
                <w:szCs w:val="22"/>
                <w:lang w:val="cs-CZ" w:eastAsia="en-US" w:bidi="ar-SA"/>
              </w:rPr>
              <w:t>3) dítě účastnící se tábora navštěvuje školu v regionu MAS</w:t>
            </w:r>
          </w:p>
        </w:tc>
      </w:tr>
      <w:tr>
        <w:trPr>
          <w:trHeight w:val="397" w:hRule="atLeast"/>
        </w:trPr>
        <w:tc>
          <w:tcPr>
            <w:tcW w:w="9062" w:type="dxa"/>
            <w:gridSpan w:val="2"/>
            <w:tcBorders/>
            <w:shd w:color="auto" w:fill="E7E6E6" w:themeFill="background2" w:val="clear"/>
          </w:tcPr>
          <w:p>
            <w:pPr>
              <w:pStyle w:val="Normal"/>
              <w:widowControl/>
              <w:suppressAutoHyphens w:val="true"/>
              <w:spacing w:lineRule="auto" w:line="240" w:before="60" w:after="60"/>
              <w:jc w:val="start"/>
              <w:rPr>
                <w:rFonts w:ascii="Source Serif Pro" w:hAnsi="Source Serif Pro"/>
                <w:i/>
                <w:iCs/>
              </w:rPr>
            </w:pPr>
            <w:r>
              <w:rPr>
                <w:rFonts w:eastAsia="Calibri" w:cs="" w:ascii="Source Serif Pro" w:hAnsi="Source Serif Pro"/>
                <w:i/>
                <w:iCs/>
                <w:kern w:val="0"/>
                <w:sz w:val="22"/>
                <w:szCs w:val="22"/>
                <w:lang w:val="cs-CZ" w:eastAsia="en-US" w:bidi="ar-SA"/>
              </w:rPr>
              <w:t>Údaje o účastníkovi (dále jen „dítě“ nebo „účastník“)</w:t>
            </w:r>
          </w:p>
        </w:tc>
      </w:tr>
      <w:tr>
        <w:trPr>
          <w:trHeight w:val="896" w:hRule="atLeast"/>
        </w:trPr>
        <w:tc>
          <w:tcPr>
            <w:tcW w:w="268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60" w:after="60"/>
              <w:jc w:val="start"/>
              <w:rPr>
                <w:rFonts w:ascii="Source Serif Pro" w:hAnsi="Source Serif Pro"/>
                <w:i/>
                <w:iCs/>
              </w:rPr>
            </w:pPr>
            <w:r>
              <w:rPr>
                <w:rFonts w:eastAsia="Calibri" w:cs="" w:ascii="Source Serif Pro" w:hAnsi="Source Serif Pro"/>
                <w:i/>
                <w:iCs/>
                <w:kern w:val="0"/>
                <w:sz w:val="22"/>
                <w:szCs w:val="22"/>
                <w:lang w:val="cs-CZ" w:eastAsia="en-US" w:bidi="ar-SA"/>
              </w:rPr>
              <w:t>Jméno a příjmení:</w:t>
            </w:r>
          </w:p>
        </w:tc>
        <w:tc>
          <w:tcPr>
            <w:tcW w:w="637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60" w:after="60"/>
              <w:jc w:val="both"/>
              <w:rPr>
                <w:rFonts w:ascii="Source Serif Pro" w:hAnsi="Source Serif Pro"/>
                <w:i/>
                <w:iCs/>
              </w:rPr>
            </w:pPr>
            <w:r>
              <w:rPr>
                <w:rFonts w:ascii="Source Serif Pro" w:hAnsi="Source Serif Pro"/>
                <w:i/>
                <w:iCs/>
              </w:rPr>
            </w:r>
          </w:p>
        </w:tc>
      </w:tr>
      <w:tr>
        <w:trPr>
          <w:trHeight w:val="896" w:hRule="atLeast"/>
        </w:trPr>
        <w:tc>
          <w:tcPr>
            <w:tcW w:w="268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60" w:after="60"/>
              <w:jc w:val="start"/>
              <w:rPr>
                <w:rFonts w:ascii="Source Serif Pro" w:hAnsi="Source Serif Pro"/>
                <w:i/>
                <w:iCs/>
              </w:rPr>
            </w:pPr>
            <w:r>
              <w:rPr>
                <w:rFonts w:eastAsia="Calibri" w:cs="" w:ascii="Source Serif Pro" w:hAnsi="Source Serif Pro"/>
                <w:i/>
                <w:iCs/>
                <w:kern w:val="0"/>
                <w:sz w:val="22"/>
                <w:szCs w:val="22"/>
                <w:lang w:val="cs-CZ" w:eastAsia="en-US" w:bidi="ar-SA"/>
              </w:rPr>
              <w:t>Datum narození:</w:t>
            </w:r>
          </w:p>
        </w:tc>
        <w:tc>
          <w:tcPr>
            <w:tcW w:w="637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60" w:after="60"/>
              <w:jc w:val="both"/>
              <w:rPr>
                <w:rFonts w:ascii="Source Serif Pro" w:hAnsi="Source Serif Pro"/>
                <w:i/>
                <w:iCs/>
              </w:rPr>
            </w:pPr>
            <w:r>
              <w:rPr>
                <w:rFonts w:ascii="Source Serif Pro" w:hAnsi="Source Serif Pro"/>
                <w:i/>
                <w:iCs/>
              </w:rPr>
            </w:r>
          </w:p>
        </w:tc>
      </w:tr>
      <w:tr>
        <w:trPr>
          <w:trHeight w:val="896" w:hRule="atLeast"/>
        </w:trPr>
        <w:tc>
          <w:tcPr>
            <w:tcW w:w="2685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60" w:after="60"/>
              <w:jc w:val="start"/>
              <w:rPr>
                <w:rFonts w:ascii="Source Serif Pro" w:hAnsi="Source Serif Pro"/>
                <w:i/>
                <w:iCs/>
              </w:rPr>
            </w:pPr>
            <w:r>
              <w:rPr>
                <w:rFonts w:eastAsia="Calibri" w:cs="" w:ascii="Source Serif Pro" w:hAnsi="Source Serif Pro"/>
                <w:i/>
                <w:iCs/>
                <w:kern w:val="0"/>
                <w:sz w:val="22"/>
                <w:szCs w:val="22"/>
                <w:lang w:val="cs-CZ" w:eastAsia="en-US" w:bidi="ar-SA"/>
              </w:rPr>
              <w:t>Dítě bude vyzvedávat:</w:t>
            </w:r>
          </w:p>
        </w:tc>
        <w:tc>
          <w:tcPr>
            <w:tcW w:w="6377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60" w:after="60"/>
              <w:jc w:val="start"/>
              <w:rPr>
                <w:rFonts w:ascii="Source Serif Pro" w:hAnsi="Source Serif Pro"/>
                <w:i/>
                <w:iCs/>
              </w:rPr>
            </w:pPr>
            <w:r>
              <w:rPr>
                <w:rFonts w:eastAsia="Calibri" w:cs="" w:ascii="Source Serif Pro" w:hAnsi="Source Serif Pro"/>
                <w:i/>
                <w:iCs/>
                <w:kern w:val="0"/>
                <w:sz w:val="22"/>
                <w:szCs w:val="22"/>
                <w:lang w:val="cs-CZ" w:eastAsia="en-US" w:bidi="ar-SA"/>
              </w:rPr>
              <w:t>1) zákonný zástupce</w:t>
            </w:r>
          </w:p>
          <w:p>
            <w:pPr>
              <w:pStyle w:val="Normal"/>
              <w:widowControl/>
              <w:suppressAutoHyphens w:val="true"/>
              <w:spacing w:lineRule="auto" w:line="240" w:before="60" w:after="60"/>
              <w:jc w:val="start"/>
              <w:rPr>
                <w:rFonts w:ascii="Source Serif Pro" w:hAnsi="Source Serif Pro"/>
                <w:i/>
                <w:iCs/>
              </w:rPr>
            </w:pPr>
            <w:r>
              <w:rPr>
                <w:rFonts w:eastAsia="Calibri" w:cs="" w:ascii="Source Serif Pro" w:hAnsi="Source Serif Pro"/>
                <w:i/>
                <w:iCs/>
                <w:kern w:val="0"/>
                <w:sz w:val="22"/>
                <w:szCs w:val="22"/>
                <w:lang w:val="cs-CZ" w:eastAsia="en-US" w:bidi="ar-SA"/>
              </w:rPr>
              <w:t>2) pověřená osoba (uveďte)</w:t>
            </w:r>
          </w:p>
        </w:tc>
      </w:tr>
      <w:tr>
        <w:trPr>
          <w:trHeight w:val="896" w:hRule="atLeast"/>
        </w:trPr>
        <w:tc>
          <w:tcPr>
            <w:tcW w:w="2685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60" w:after="60"/>
              <w:jc w:val="start"/>
              <w:rPr>
                <w:rFonts w:ascii="Source Serif Pro" w:hAnsi="Source Serif Pro"/>
                <w:i/>
                <w:iCs/>
              </w:rPr>
            </w:pPr>
            <w:r>
              <w:rPr>
                <w:rFonts w:eastAsia="Calibri" w:cs="" w:ascii="Source Serif Pro" w:hAnsi="Source Serif Pro"/>
                <w:i/>
                <w:iCs/>
                <w:kern w:val="0"/>
                <w:sz w:val="22"/>
                <w:szCs w:val="22"/>
                <w:lang w:val="cs-CZ" w:eastAsia="en-US" w:bidi="ar-SA"/>
              </w:rPr>
              <w:t>Dítě může odcházet z tábora samostatně:</w:t>
            </w:r>
          </w:p>
        </w:tc>
        <w:tc>
          <w:tcPr>
            <w:tcW w:w="6377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60" w:after="60"/>
              <w:jc w:val="both"/>
              <w:rPr>
                <w:rFonts w:ascii="Source Serif Pro" w:hAnsi="Source Serif Pro"/>
                <w:i/>
                <w:iCs/>
              </w:rPr>
            </w:pPr>
            <w:r>
              <w:rPr>
                <w:rFonts w:eastAsia="Calibri" w:cs="" w:ascii="Source Serif Pro" w:hAnsi="Source Serif Pro"/>
                <w:i/>
                <w:iCs/>
                <w:kern w:val="0"/>
                <w:sz w:val="22"/>
                <w:szCs w:val="22"/>
                <w:lang w:val="cs-CZ" w:eastAsia="en-US" w:bidi="ar-SA"/>
              </w:rPr>
              <w:t>1) ano (uveďte čas)</w:t>
            </w:r>
          </w:p>
          <w:p>
            <w:pPr>
              <w:pStyle w:val="Normal"/>
              <w:widowControl/>
              <w:suppressAutoHyphens w:val="true"/>
              <w:spacing w:lineRule="auto" w:line="240" w:before="60" w:after="60"/>
              <w:jc w:val="both"/>
              <w:rPr>
                <w:rFonts w:ascii="Source Serif Pro" w:hAnsi="Source Serif Pro"/>
                <w:i/>
                <w:iCs/>
              </w:rPr>
            </w:pPr>
            <w:r>
              <w:rPr>
                <w:rFonts w:eastAsia="Calibri" w:cs="" w:ascii="Source Serif Pro" w:hAnsi="Source Serif Pro"/>
                <w:i/>
                <w:iCs/>
                <w:kern w:val="0"/>
                <w:sz w:val="22"/>
                <w:szCs w:val="22"/>
                <w:lang w:val="cs-CZ" w:eastAsia="en-US" w:bidi="ar-SA"/>
              </w:rPr>
              <w:t>2) ne</w:t>
            </w:r>
          </w:p>
        </w:tc>
      </w:tr>
    </w:tbl>
    <w:p>
      <w:pPr>
        <w:pStyle w:val="Normal"/>
        <w:spacing w:before="0" w:after="0"/>
        <w:rPr>
          <w:rFonts w:ascii="Source Serif Pro" w:hAnsi="Source Serif Pro"/>
        </w:rPr>
      </w:pPr>
      <w:r>
        <w:rPr>
          <w:rFonts w:ascii="Source Serif Pro" w:hAnsi="Source Serif Pro"/>
        </w:rPr>
      </w:r>
    </w:p>
    <w:p>
      <w:pPr>
        <w:pStyle w:val="Normal"/>
        <w:rPr>
          <w:rFonts w:ascii="Source Serif Pro" w:hAnsi="Source Serif Pro"/>
        </w:rPr>
      </w:pPr>
      <w:r>
        <w:rPr>
          <w:rFonts w:ascii="Source Serif Pro" w:hAnsi="Source Serif Pro"/>
        </w:rPr>
      </w:r>
    </w:p>
    <w:p>
      <w:pPr>
        <w:pStyle w:val="Normal"/>
        <w:rPr>
          <w:rFonts w:ascii="Source Serif Pro" w:hAnsi="Source Serif Pro"/>
        </w:rPr>
      </w:pPr>
      <w:r>
        <w:rPr>
          <w:rFonts w:ascii="Source Serif Pro" w:hAnsi="Source Serif Pro"/>
        </w:rPr>
      </w:r>
    </w:p>
    <w:p>
      <w:pPr>
        <w:pStyle w:val="Normal"/>
        <w:ind w:start="680"/>
        <w:rPr>
          <w:rFonts w:ascii="Source Serif Pro" w:hAnsi="Source Serif Pro"/>
        </w:rPr>
      </w:pPr>
      <w:r>
        <w:rPr>
          <w:rFonts w:ascii="Source Serif Pro" w:hAnsi="Source Serif Pro"/>
        </w:rPr>
        <w:t>uzavřeli níže uvedeného dne, měsíce a roku tuto smlouvu o účasti dítěte na komunitním (nepobytovém) táboře (dále také jen „tábor“):</w:t>
      </w:r>
    </w:p>
    <w:p>
      <w:pPr>
        <w:pStyle w:val="Normal"/>
        <w:rPr>
          <w:rFonts w:ascii="Source Serif Pro" w:hAnsi="Source Serif Pro"/>
        </w:rPr>
      </w:pPr>
      <w:r>
        <w:rPr>
          <w:rFonts w:ascii="Source Serif Pro" w:hAnsi="Source Serif Pro"/>
        </w:rPr>
      </w:r>
    </w:p>
    <w:p>
      <w:pPr>
        <w:pStyle w:val="ListParagraph"/>
        <w:numPr>
          <w:ilvl w:val="0"/>
          <w:numId w:val="1"/>
        </w:numPr>
        <w:spacing w:before="0" w:after="0"/>
        <w:contextualSpacing/>
        <w:jc w:val="center"/>
        <w:rPr>
          <w:rFonts w:ascii="Source Serif Pro" w:hAnsi="Source Serif Pro"/>
        </w:rPr>
      </w:pPr>
      <w:r>
        <w:rPr>
          <w:rFonts w:ascii="Source Serif Pro" w:hAnsi="Source Serif Pro"/>
        </w:rPr>
        <w:t>Předmět smlouvy</w:t>
      </w:r>
    </w:p>
    <w:p>
      <w:pPr>
        <w:pStyle w:val="Normal"/>
        <w:spacing w:before="0" w:after="0"/>
        <w:rPr>
          <w:rFonts w:ascii="Source Serif Pro" w:hAnsi="Source Serif Pro" w:cs="ArialMT"/>
          <w:color w:val="000000"/>
        </w:rPr>
      </w:pPr>
      <w:r>
        <w:rPr>
          <w:rFonts w:cs="ArialMT" w:ascii="Source Serif Pro" w:hAnsi="Source Serif Pro"/>
          <w:color w:val="000000"/>
        </w:rPr>
      </w:r>
    </w:p>
    <w:p>
      <w:pPr>
        <w:pStyle w:val="ListParagraph"/>
        <w:numPr>
          <w:ilvl w:val="1"/>
          <w:numId w:val="1"/>
        </w:numPr>
        <w:spacing w:lineRule="auto" w:line="240" w:before="120" w:after="120"/>
        <w:contextualSpacing w:val="false"/>
        <w:jc w:val="both"/>
        <w:rPr>
          <w:rFonts w:ascii="Source Serif Pro" w:hAnsi="Source Serif Pro" w:eastAsia="Calibri" w:cs="ArialMT"/>
          <w:color w:val="000000"/>
        </w:rPr>
      </w:pPr>
      <w:r>
        <w:rPr>
          <w:rFonts w:eastAsia="Calibri" w:cs="ArialMT" w:ascii="Source Serif Pro" w:hAnsi="Source Serif Pro"/>
          <w:color w:val="000000"/>
        </w:rPr>
        <w:t>Tábor je organizován za podpory dotace z Operačního programu zaměstnanost plus – č. projektu CZ.03.02.01/00/25_084/0006261, název projektu „2. Projekt OPZ+ MAS Východní Slovácko“ (dále i jen „projekt“).</w:t>
      </w:r>
    </w:p>
    <w:p>
      <w:pPr>
        <w:pStyle w:val="ListParagraph"/>
        <w:numPr>
          <w:ilvl w:val="1"/>
          <w:numId w:val="1"/>
        </w:numPr>
        <w:spacing w:lineRule="auto" w:line="240" w:before="120" w:after="120"/>
        <w:contextualSpacing w:val="false"/>
        <w:jc w:val="both"/>
        <w:rPr>
          <w:rFonts w:ascii="Source Serif Pro" w:hAnsi="Source Serif Pro" w:eastAsia="Calibri" w:cs="ArialMT"/>
          <w:color w:val="000000"/>
        </w:rPr>
      </w:pPr>
      <w:r>
        <w:rPr>
          <w:rFonts w:eastAsia="Calibri" w:cs="ArialMT" w:ascii="Source Serif Pro" w:hAnsi="Source Serif Pro"/>
          <w:color w:val="000000"/>
        </w:rPr>
        <w:t xml:space="preserve">Předmětem smlouvy je úprava vztahů mezi organizátorem a zákonným zástupcem při zařazení dítěte (tj. účastníka) do komunitního tábora (dále i jen „tábor“), který se bude </w:t>
      </w:r>
      <w:r>
        <w:rPr>
          <w:rFonts w:eastAsia="Calibri" w:cs="ArialMT" w:ascii="Source Serif Pro" w:hAnsi="Source Serif Pro"/>
          <w:color w:val="000000"/>
          <w:shd w:fill="auto" w:val="clear"/>
        </w:rPr>
        <w:t xml:space="preserve">konat v termínu </w:t>
      </w:r>
      <w:r>
        <w:rPr>
          <w:rFonts w:eastAsia="Calibri" w:cs="ArialMT" w:ascii="Source Serif Pro" w:hAnsi="Source Serif Pro"/>
          <w:b/>
          <w:bCs/>
          <w:color w:val="000000"/>
          <w:shd w:fill="auto" w:val="clear"/>
        </w:rPr>
        <w:t>13. 7. 2026 – 17. 7. 2026</w:t>
      </w:r>
      <w:r>
        <w:rPr>
          <w:rFonts w:eastAsia="Calibri" w:cs="ArialMT" w:ascii="Source Serif Pro" w:hAnsi="Source Serif Pro"/>
          <w:color w:val="000000"/>
          <w:shd w:fill="auto" w:val="clear"/>
        </w:rPr>
        <w:t xml:space="preserve"> v lokalitě </w:t>
      </w:r>
      <w:r>
        <w:rPr>
          <w:rFonts w:eastAsia="Calibri" w:cs="ArialMT" w:ascii="Source Serif Pro" w:hAnsi="Source Serif Pro"/>
          <w:b/>
          <w:bCs/>
          <w:color w:val="000000"/>
          <w:shd w:fill="auto" w:val="clear"/>
        </w:rPr>
        <w:t>Nivnice</w:t>
      </w:r>
      <w:r>
        <w:rPr>
          <w:rFonts w:eastAsia="Calibri" w:cs="ArialMT" w:ascii="Source Serif Pro" w:hAnsi="Source Serif Pro"/>
          <w:color w:val="000000"/>
          <w:shd w:fill="auto" w:val="clear"/>
        </w:rPr>
        <w:t xml:space="preserve"> v čase vždy </w:t>
      </w:r>
      <w:r>
        <w:rPr>
          <w:rFonts w:eastAsia="Calibri" w:cs="ArialMT" w:ascii="Source Serif Pro" w:hAnsi="Source Serif Pro"/>
          <w:b/>
          <w:bCs/>
          <w:color w:val="000000"/>
          <w:shd w:fill="auto" w:val="clear"/>
        </w:rPr>
        <w:t xml:space="preserve">7:30 – 15:30 </w:t>
      </w:r>
      <w:r>
        <w:rPr>
          <w:rFonts w:eastAsia="Calibri" w:cs="ArialMT" w:ascii="Source Serif Pro" w:hAnsi="Source Serif Pro"/>
          <w:color w:val="000000"/>
          <w:shd w:fill="auto" w:val="clear"/>
        </w:rPr>
        <w:t xml:space="preserve">hod. </w:t>
      </w:r>
    </w:p>
    <w:p>
      <w:pPr>
        <w:pStyle w:val="ListParagraph"/>
        <w:numPr>
          <w:ilvl w:val="1"/>
          <w:numId w:val="1"/>
        </w:numPr>
        <w:spacing w:lineRule="auto" w:line="240" w:before="120" w:after="120"/>
        <w:contextualSpacing w:val="false"/>
        <w:jc w:val="both"/>
        <w:rPr>
          <w:rFonts w:ascii="Source Serif Pro" w:hAnsi="Source Serif Pro" w:eastAsia="Calibri" w:cs="ArialMT"/>
          <w:color w:val="000000"/>
        </w:rPr>
      </w:pPr>
      <w:r>
        <w:rPr>
          <w:rFonts w:eastAsia="Calibri" w:cs="ArialMT" w:ascii="Source Serif Pro" w:hAnsi="Source Serif Pro"/>
          <w:color w:val="000000"/>
        </w:rPr>
        <w:t>Účastníkem se rozumí osoba, jejíž zařazení je podloženo řádně vyplněnou Přihláškou a smlouvou o účasti na táboře a táborový poplatek byl uhrazen v souladu s pokyny organizátora. Osoby mladší 18 let jsou ve smluvním vztahu zastoupeny jejich zákonným zástupcem. Zákonný zástupce dítěte přebírá plnou odpovědnost za naplnění dojednaných smluvních podmínek. Smluvní vztah mezi zákonným zástupcem a organizátorem vzniká okamžikem podpisu zákonného zástupce na přihlášce na komunitní venkovský tábor.</w:t>
      </w:r>
    </w:p>
    <w:p>
      <w:pPr>
        <w:pStyle w:val="ListParagraph"/>
        <w:numPr>
          <w:ilvl w:val="1"/>
          <w:numId w:val="1"/>
        </w:numPr>
        <w:spacing w:lineRule="auto" w:line="240" w:before="120" w:after="120"/>
        <w:contextualSpacing w:val="false"/>
        <w:jc w:val="both"/>
        <w:rPr>
          <w:rFonts w:ascii="Source Serif Pro" w:hAnsi="Source Serif Pro" w:eastAsia="Calibri" w:cs="ArialMT"/>
          <w:color w:val="000000"/>
        </w:rPr>
      </w:pPr>
      <w:r>
        <w:rPr>
          <w:rFonts w:eastAsia="Calibri" w:cs="ArialMT" w:ascii="Source Serif Pro" w:hAnsi="Source Serif Pro"/>
          <w:color w:val="000000"/>
        </w:rPr>
        <w:t xml:space="preserve">Náplní tábora budou typické aktivity pro tento typ péče o děti (zejména hry, soutěže, výlety, výtvarná a sportovní činnost dětí). </w:t>
      </w:r>
    </w:p>
    <w:p>
      <w:pPr>
        <w:pStyle w:val="Normal"/>
        <w:spacing w:before="0" w:after="0"/>
        <w:rPr>
          <w:rFonts w:ascii="Source Serif Pro" w:hAnsi="Source Serif Pro" w:cs="ArialMT"/>
          <w:b/>
          <w:color w:val="000000"/>
        </w:rPr>
      </w:pPr>
      <w:r>
        <w:rPr>
          <w:rFonts w:cs="ArialMT" w:ascii="Source Serif Pro" w:hAnsi="Source Serif Pro"/>
          <w:b/>
          <w:color w:val="000000"/>
        </w:rPr>
      </w:r>
    </w:p>
    <w:p>
      <w:pPr>
        <w:pStyle w:val="ListParagraph"/>
        <w:numPr>
          <w:ilvl w:val="0"/>
          <w:numId w:val="1"/>
        </w:numPr>
        <w:spacing w:before="0" w:after="0"/>
        <w:contextualSpacing w:val="false"/>
        <w:jc w:val="center"/>
        <w:rPr>
          <w:rFonts w:ascii="Source Serif Pro" w:hAnsi="Source Serif Pro"/>
        </w:rPr>
      </w:pPr>
      <w:r>
        <w:rPr>
          <w:rFonts w:ascii="Source Serif Pro" w:hAnsi="Source Serif Pro"/>
        </w:rPr>
        <w:t>Práva a povinnosti smluvních stran</w:t>
      </w:r>
    </w:p>
    <w:p>
      <w:pPr>
        <w:pStyle w:val="ListParagraph"/>
        <w:spacing w:before="0" w:after="0"/>
        <w:contextualSpacing/>
        <w:rPr>
          <w:rFonts w:ascii="Source Serif Pro" w:hAnsi="Source Serif Pro"/>
        </w:rPr>
      </w:pPr>
      <w:r>
        <w:rPr>
          <w:rFonts w:ascii="Source Serif Pro" w:hAnsi="Source Serif Pro"/>
        </w:rPr>
      </w:r>
    </w:p>
    <w:p>
      <w:pPr>
        <w:pStyle w:val="ListParagraph"/>
        <w:numPr>
          <w:ilvl w:val="1"/>
          <w:numId w:val="1"/>
        </w:numPr>
        <w:spacing w:lineRule="auto" w:line="240" w:before="120" w:after="120"/>
        <w:contextualSpacing w:val="false"/>
        <w:jc w:val="both"/>
        <w:rPr>
          <w:rFonts w:ascii="Source Serif Pro" w:hAnsi="Source Serif Pro" w:cs="ArialMT"/>
          <w:color w:val="000000"/>
        </w:rPr>
      </w:pPr>
      <w:r>
        <w:rPr>
          <w:rFonts w:cs="ArialMT" w:ascii="Source Serif Pro" w:hAnsi="Source Serif Pro"/>
          <w:color w:val="000000"/>
        </w:rPr>
        <w:t>Organizátor se zavazuje zajistit bezpečnost účastníků po celou dobu konání tábora. Bezpečnost zahrnuje dodržování platných bezpečnostních předpisů a opatření, která zabraňují vzniku úrazů a jiných rizik.</w:t>
      </w:r>
    </w:p>
    <w:p>
      <w:pPr>
        <w:pStyle w:val="ListParagraph"/>
        <w:numPr>
          <w:ilvl w:val="1"/>
          <w:numId w:val="1"/>
        </w:numPr>
        <w:spacing w:lineRule="auto" w:line="240" w:before="120" w:after="120"/>
        <w:contextualSpacing w:val="false"/>
        <w:jc w:val="both"/>
        <w:rPr>
          <w:rFonts w:ascii="Source Serif Pro" w:hAnsi="Source Serif Pro" w:cs="ArialMT"/>
          <w:color w:val="000000"/>
        </w:rPr>
      </w:pPr>
      <w:r>
        <w:rPr>
          <w:rFonts w:cs="ArialMT" w:ascii="Source Serif Pro" w:hAnsi="Source Serif Pro"/>
          <w:color w:val="000000"/>
        </w:rPr>
        <w:t>Organizátor je povinen dodržovat všechny hygienické a bezpečnostní předpisy, které se vztahují na pořádání nepobytových táborů. To zahrnuje zajištění čistoty prostor, dostatečného zásobování vodou, hygienického vybavení a dodržování režimu dne.</w:t>
      </w:r>
    </w:p>
    <w:p>
      <w:pPr>
        <w:pStyle w:val="ListParagraph"/>
        <w:numPr>
          <w:ilvl w:val="1"/>
          <w:numId w:val="1"/>
        </w:numPr>
        <w:spacing w:lineRule="auto" w:line="240" w:before="120" w:after="120"/>
        <w:contextualSpacing w:val="false"/>
        <w:jc w:val="both"/>
        <w:rPr>
          <w:rFonts w:ascii="Source Serif Pro" w:hAnsi="Source Serif Pro" w:cs="ArialMT"/>
          <w:color w:val="000000"/>
        </w:rPr>
      </w:pPr>
      <w:r>
        <w:rPr>
          <w:rFonts w:cs="ArialMT" w:ascii="Source Serif Pro" w:hAnsi="Source Serif Pro"/>
          <w:color w:val="000000"/>
        </w:rPr>
        <w:t xml:space="preserve">Organizátor bude informovat zákonného zástupce o jakýchkoliv změnách programu nebo mimořádných situacích, které by mohly ovlivnit průběh tábora. </w:t>
      </w:r>
    </w:p>
    <w:p>
      <w:pPr>
        <w:pStyle w:val="ListParagraph"/>
        <w:numPr>
          <w:ilvl w:val="1"/>
          <w:numId w:val="1"/>
        </w:numPr>
        <w:spacing w:lineRule="auto" w:line="240" w:before="120" w:after="120"/>
        <w:contextualSpacing w:val="false"/>
        <w:jc w:val="both"/>
        <w:rPr>
          <w:rFonts w:ascii="Source Serif Pro" w:hAnsi="Source Serif Pro" w:eastAsia="Calibri" w:cs="ArialMT"/>
          <w:color w:val="000000"/>
        </w:rPr>
      </w:pPr>
      <w:r>
        <w:rPr>
          <w:rFonts w:eastAsia="Calibri" w:cs="ArialMT" w:ascii="Source Serif Pro" w:hAnsi="Source Serif Pro"/>
          <w:color w:val="000000"/>
        </w:rPr>
        <w:t>Dítě je předáváno zákonným zástupcem nebo jinou pověřenou osobou v místě realizace tábora pečující osobě, tj. osobě určené organizátorem, která o děti pečuje v průběhu tábora. Po skončení denního programu tábora bude dítě předáno zpět zákonnému zástupci, případně jiné osobě, kterou zákonný zástupce pověří.</w:t>
      </w:r>
    </w:p>
    <w:p>
      <w:pPr>
        <w:pStyle w:val="ListParagraph"/>
        <w:numPr>
          <w:ilvl w:val="1"/>
          <w:numId w:val="1"/>
        </w:numPr>
        <w:spacing w:lineRule="auto" w:line="240" w:before="120" w:after="120"/>
        <w:contextualSpacing w:val="false"/>
        <w:jc w:val="both"/>
        <w:rPr>
          <w:rFonts w:ascii="Source Serif Pro" w:hAnsi="Source Serif Pro" w:eastAsia="Calibri" w:cs="ArialMT"/>
          <w:color w:val="000000"/>
        </w:rPr>
      </w:pPr>
      <w:r>
        <w:rPr>
          <w:rFonts w:eastAsia="Calibri" w:cs="ArialMT" w:ascii="Source Serif Pro" w:hAnsi="Source Serif Pro"/>
          <w:color w:val="000000"/>
        </w:rPr>
        <w:t>Pokud má účastník odcházet z tábora samostatně (bez doprovodu), musí tuto skutečnost zákonný zástupce výslovně uvést v přihlášce. V takovém případě přebírá zákonný zástupce plnou odpovědnost za dítě okamžikem jeho odchodu z místa konání tábora.</w:t>
      </w:r>
    </w:p>
    <w:p>
      <w:pPr>
        <w:pStyle w:val="ListParagraph"/>
        <w:numPr>
          <w:ilvl w:val="1"/>
          <w:numId w:val="1"/>
        </w:numPr>
        <w:spacing w:lineRule="auto" w:line="240" w:before="120" w:after="120"/>
        <w:contextualSpacing w:val="false"/>
        <w:jc w:val="both"/>
        <w:rPr>
          <w:rFonts w:ascii="Source Serif Pro" w:hAnsi="Source Serif Pro" w:cs="ArialMT"/>
          <w:color w:val="000000"/>
        </w:rPr>
      </w:pPr>
      <w:r>
        <w:rPr>
          <w:rFonts w:cs="ArialMT" w:ascii="Source Serif Pro" w:hAnsi="Source Serif Pro"/>
          <w:color w:val="000000"/>
        </w:rPr>
        <w:t xml:space="preserve">Účastník akce je povinen dodržovat režim dne a pokyny organizátora. </w:t>
      </w:r>
    </w:p>
    <w:p>
      <w:pPr>
        <w:pStyle w:val="ListParagraph"/>
        <w:numPr>
          <w:ilvl w:val="1"/>
          <w:numId w:val="1"/>
        </w:numPr>
        <w:spacing w:before="120" w:after="120"/>
        <w:contextualSpacing w:val="false"/>
        <w:jc w:val="both"/>
        <w:rPr>
          <w:rFonts w:ascii="Source Serif Pro" w:hAnsi="Source Serif Pro" w:cs="ArialMT"/>
          <w:color w:val="000000"/>
        </w:rPr>
      </w:pPr>
      <w:r>
        <w:rPr>
          <w:rFonts w:cs="ArialMT" w:ascii="Source Serif Pro" w:hAnsi="Source Serif Pro"/>
          <w:color w:val="000000"/>
        </w:rPr>
        <w:t>Účastník je povinen zdržet se chování, které může poškozovat ostatní účastníky tábora. V případě nezvládnutelných kázeňských problémů s účastníkem si organizátor vyhrazuje právo vyloučit jej.</w:t>
      </w:r>
    </w:p>
    <w:p>
      <w:pPr>
        <w:pStyle w:val="ListParagraph"/>
        <w:numPr>
          <w:ilvl w:val="1"/>
          <w:numId w:val="1"/>
        </w:numPr>
        <w:spacing w:before="120" w:after="120"/>
        <w:contextualSpacing w:val="false"/>
        <w:jc w:val="both"/>
        <w:rPr>
          <w:rFonts w:ascii="Source Serif Pro" w:hAnsi="Source Serif Pro" w:cs="ArialMT"/>
          <w:color w:val="000000"/>
        </w:rPr>
      </w:pPr>
      <w:r>
        <w:rPr>
          <w:rFonts w:cs="ArialMT" w:ascii="Source Serif Pro" w:hAnsi="Source Serif Pro"/>
          <w:color w:val="000000"/>
        </w:rPr>
        <w:t xml:space="preserve">Účastník je povinen šetřit movitý i nemovitý majetek v místě tábora. Případnou škodu prokazatelně způsobenou dítětem na majetku organizátora či třetích osob se zákonný zástupce zavazuje uhradit. </w:t>
      </w:r>
    </w:p>
    <w:p>
      <w:pPr>
        <w:pStyle w:val="ListParagraph"/>
        <w:numPr>
          <w:ilvl w:val="1"/>
          <w:numId w:val="1"/>
        </w:numPr>
        <w:spacing w:before="120" w:after="120"/>
        <w:contextualSpacing w:val="false"/>
        <w:jc w:val="both"/>
        <w:rPr>
          <w:rFonts w:ascii="Source Serif Pro" w:hAnsi="Source Serif Pro" w:cs="ArialMT"/>
          <w:color w:val="000000"/>
        </w:rPr>
      </w:pPr>
      <w:r>
        <w:rPr>
          <w:rFonts w:cs="ArialMT" w:ascii="Source Serif Pro" w:hAnsi="Source Serif Pro"/>
          <w:color w:val="000000"/>
        </w:rPr>
        <w:t xml:space="preserve">Tábor je určen pro cílovou skupinu projektu, která má prokazatelnou vazbu na region MAS Východní Slovácko (region MAS Východní Slovácko sestává z obcí v okrese Uherské Hradiště: Bánov, Březová, Bystřice pod Lopeníkem, Dolní Němčí, Horní Němčí, Korytná, Nivnice, Slavkov, Suchá Loz, Strání, Vlčnov a město Uherský Brod). Uznatelnou vazbou cílové skupiny je: 1) trvalý pobyt v regionu MAS; 2) rodič dítěte účastnícího se tábora pracuje v regionu MAS; 3) dítě účastnící se tábora navštěvuje školu v regionu MAS. </w:t>
      </w:r>
    </w:p>
    <w:p>
      <w:pPr>
        <w:pStyle w:val="ListParagraph"/>
        <w:numPr>
          <w:ilvl w:val="1"/>
          <w:numId w:val="1"/>
        </w:numPr>
        <w:spacing w:before="120" w:after="120"/>
        <w:contextualSpacing w:val="false"/>
        <w:jc w:val="both"/>
        <w:rPr>
          <w:rFonts w:ascii="Source Serif Pro" w:hAnsi="Source Serif Pro" w:cs="ArialMT"/>
          <w:color w:val="000000"/>
        </w:rPr>
      </w:pPr>
      <w:r>
        <w:rPr>
          <w:rFonts w:cs="ArialMT" w:ascii="Source Serif Pro" w:hAnsi="Source Serif Pro"/>
          <w:color w:val="000000"/>
        </w:rPr>
        <w:t>Organizátor upozorňuje, aby účastník nenosil s sebou mobilní telefon, jinou drahou elektroniku, fotoaparát, případně jiné cennosti (šperky, hodinky). Pokud účastník této výzvy neuposlechne, je povinen si cenné věci a peníze uschovat prostřednictvím pečující osoby, která zajistí bezpečné uschování jí svěřených věcí. Organizátor nenese odpovědnost za případnou ztrátu osobních věcí účastníka. V případě neuposlechnutí tohoto organizačního opatření nenese organizátor za cenné věci žádnou odpovědnost.</w:t>
      </w:r>
    </w:p>
    <w:p>
      <w:pPr>
        <w:pStyle w:val="ListParagraph"/>
        <w:numPr>
          <w:ilvl w:val="1"/>
          <w:numId w:val="1"/>
        </w:numPr>
        <w:spacing w:before="120" w:after="120"/>
        <w:contextualSpacing w:val="false"/>
        <w:jc w:val="both"/>
        <w:rPr>
          <w:rFonts w:ascii="Source Serif Pro" w:hAnsi="Source Serif Pro" w:cs="ArialMT"/>
          <w:color w:val="000000"/>
        </w:rPr>
      </w:pPr>
      <w:r>
        <w:rPr>
          <w:rFonts w:cs="ArialMT" w:ascii="Source Serif Pro" w:hAnsi="Source Serif Pro"/>
          <w:color w:val="000000"/>
        </w:rPr>
        <w:t>Zákonný zástupce prohlašuje, že účastník je zdravotně způsobilý k účasti na táboře a netrpí žádnými chorobami, které by mu bránily v účasti nebo vyžadovaly zvláštní režim.</w:t>
      </w:r>
    </w:p>
    <w:p>
      <w:pPr>
        <w:pStyle w:val="ListParagraph"/>
        <w:numPr>
          <w:ilvl w:val="1"/>
          <w:numId w:val="1"/>
        </w:numPr>
        <w:spacing w:before="120" w:after="120"/>
        <w:contextualSpacing w:val="false"/>
        <w:jc w:val="both"/>
        <w:rPr>
          <w:rFonts w:ascii="Source Serif Pro" w:hAnsi="Source Serif Pro" w:cs="ArialMT"/>
          <w:color w:val="000000"/>
        </w:rPr>
      </w:pPr>
      <w:r>
        <w:rPr>
          <w:rFonts w:cs="ArialMT" w:ascii="Source Serif Pro" w:hAnsi="Source Serif Pro"/>
          <w:color w:val="000000"/>
        </w:rPr>
        <w:t xml:space="preserve">Zákonný zástupce je povinen písemně informovat organizátora o všech alergiích, dietách či nutnosti pravidelného užívání léků. </w:t>
      </w:r>
    </w:p>
    <w:p>
      <w:pPr>
        <w:pStyle w:val="ListParagraph"/>
        <w:numPr>
          <w:ilvl w:val="1"/>
          <w:numId w:val="1"/>
        </w:numPr>
        <w:spacing w:before="120" w:after="120"/>
        <w:contextualSpacing w:val="false"/>
        <w:jc w:val="both"/>
        <w:rPr>
          <w:rFonts w:ascii="Source Serif Pro" w:hAnsi="Source Serif Pro" w:cs="ArialMT"/>
          <w:color w:val="000000"/>
        </w:rPr>
      </w:pPr>
      <w:r>
        <w:rPr>
          <w:rFonts w:cs="ArialMT" w:ascii="Source Serif Pro" w:hAnsi="Source Serif Pro"/>
          <w:color w:val="000000"/>
        </w:rPr>
        <w:t xml:space="preserve">Zákonný zástupce dává souhlas k poskytnutí první pomoci a k zajištění nezbytného lékařského ošetření. </w:t>
      </w:r>
    </w:p>
    <w:p>
      <w:pPr>
        <w:pStyle w:val="ListParagraph"/>
        <w:numPr>
          <w:ilvl w:val="1"/>
          <w:numId w:val="1"/>
        </w:numPr>
        <w:spacing w:before="120" w:after="120"/>
        <w:contextualSpacing w:val="false"/>
        <w:jc w:val="both"/>
        <w:rPr>
          <w:rFonts w:ascii="Source Serif Pro" w:hAnsi="Source Serif Pro" w:cs="ArialMT"/>
          <w:color w:val="000000"/>
        </w:rPr>
      </w:pPr>
      <w:r>
        <w:rPr>
          <w:rFonts w:cs="ArialMT" w:ascii="Source Serif Pro" w:hAnsi="Source Serif Pro"/>
          <w:color w:val="000000"/>
        </w:rPr>
        <w:t xml:space="preserve">Zákonný zástupce bere na vědomí, že odpovídá za pravdivost informací o zdravotním stavu dítěte a za případné následky způsobené zamlčením důležitých zdravotních údajů. </w:t>
      </w:r>
    </w:p>
    <w:p>
      <w:pPr>
        <w:pStyle w:val="ListParagraph"/>
        <w:spacing w:before="120" w:after="120"/>
        <w:contextualSpacing w:val="false"/>
        <w:jc w:val="both"/>
        <w:rPr>
          <w:rFonts w:ascii="Source Serif Pro" w:hAnsi="Source Serif Pro" w:cs="ArialMT"/>
          <w:color w:val="000000"/>
        </w:rPr>
      </w:pPr>
      <w:r>
        <w:rPr>
          <w:rFonts w:cs="ArialMT" w:ascii="Source Serif Pro" w:hAnsi="Source Serif Pro"/>
          <w:color w:val="000000"/>
        </w:rPr>
      </w:r>
    </w:p>
    <w:p>
      <w:pPr>
        <w:pStyle w:val="ListParagraph"/>
        <w:numPr>
          <w:ilvl w:val="0"/>
          <w:numId w:val="1"/>
        </w:numPr>
        <w:spacing w:before="0" w:after="0"/>
        <w:contextualSpacing/>
        <w:jc w:val="center"/>
        <w:rPr>
          <w:rFonts w:ascii="Source Serif Pro" w:hAnsi="Source Serif Pro"/>
        </w:rPr>
      </w:pPr>
      <w:r>
        <w:rPr>
          <w:rFonts w:ascii="Source Serif Pro" w:hAnsi="Source Serif Pro"/>
        </w:rPr>
        <w:t>Souhlas se zpracováním a ochrana osobních údajů</w:t>
      </w:r>
    </w:p>
    <w:p>
      <w:pPr>
        <w:pStyle w:val="Normal"/>
        <w:spacing w:before="0" w:after="0"/>
        <w:contextualSpacing/>
        <w:rPr>
          <w:rFonts w:ascii="Source Serif Pro" w:hAnsi="Source Serif Pro" w:cs="ArialMT"/>
          <w:color w:val="000000"/>
        </w:rPr>
      </w:pPr>
      <w:r>
        <w:rPr>
          <w:rFonts w:cs="ArialMT" w:ascii="Source Serif Pro" w:hAnsi="Source Serif Pro"/>
          <w:color w:val="000000"/>
        </w:rPr>
      </w:r>
    </w:p>
    <w:p>
      <w:pPr>
        <w:pStyle w:val="ListParagraph"/>
        <w:numPr>
          <w:ilvl w:val="1"/>
          <w:numId w:val="1"/>
        </w:numPr>
        <w:spacing w:before="120" w:after="120"/>
        <w:contextualSpacing w:val="false"/>
        <w:jc w:val="both"/>
        <w:rPr>
          <w:rFonts w:ascii="Source Serif Pro" w:hAnsi="Source Serif Pro" w:cs="ArialMT"/>
          <w:color w:val="000000"/>
        </w:rPr>
      </w:pPr>
      <w:r>
        <w:rPr>
          <w:rFonts w:cs="ArialMT" w:ascii="Source Serif Pro" w:hAnsi="Source Serif Pro"/>
          <w:color w:val="000000"/>
        </w:rPr>
        <w:t xml:space="preserve">Organizátor je povinen v souladu s Rozhodnutím o poskytnutí dotace zpracovávat, uchovávat a nakládat s osobními údaji účastníků tábora a osob podpořených v rámci  projektu CZ.03.02.01/00/25_084/0006261, a to jako správce v souladu s Nařízením Evropského parlamentu a Rady (EU) 2016/679 ze dne 27. dubna 2016 o ochraně fyzických osob v souvislosti se zpracováním osobních údajů a o volném pohybu těchto údajů a o zrušení směrnice 95/46/ES (obecné nařízení o ochraně osobních údajů), v platném znění (dále jen „Nařízení“). </w:t>
      </w:r>
    </w:p>
    <w:p>
      <w:pPr>
        <w:pStyle w:val="ListParagraph"/>
        <w:numPr>
          <w:ilvl w:val="1"/>
          <w:numId w:val="1"/>
        </w:numPr>
        <w:spacing w:before="120" w:after="120"/>
        <w:contextualSpacing w:val="false"/>
        <w:jc w:val="both"/>
        <w:rPr>
          <w:rFonts w:ascii="Source Serif Pro" w:hAnsi="Source Serif Pro" w:cs="ArialMT"/>
          <w:color w:val="000000"/>
        </w:rPr>
      </w:pPr>
      <w:r>
        <w:rPr>
          <w:rFonts w:cs="ArialMT" w:ascii="Source Serif Pro" w:hAnsi="Source Serif Pro"/>
          <w:color w:val="000000"/>
        </w:rPr>
        <w:t xml:space="preserve">Zákonný zástupce souhlasí se zpracováním osobních údajů, včetně zvláštní kategorie osobních údajů (dále jen „osobní údaje“), osob podpořených v projektu za účelem prokázání řádného a efektivního nakládání s prostředky Evropského sociálního fondu, které byly na realizaci projektu poskytnuty z OPZ+, a to v rozsahu vymezeném v Obecné části pravidel pro žadatele a příjemce v rámci OPZ+. </w:t>
      </w:r>
    </w:p>
    <w:p>
      <w:pPr>
        <w:pStyle w:val="ListParagraph"/>
        <w:numPr>
          <w:ilvl w:val="1"/>
          <w:numId w:val="1"/>
        </w:numPr>
        <w:spacing w:before="120" w:after="120"/>
        <w:contextualSpacing w:val="false"/>
        <w:jc w:val="both"/>
        <w:rPr>
          <w:rFonts w:ascii="Source Serif Pro" w:hAnsi="Source Serif Pro" w:cs="ArialMT"/>
          <w:color w:val="000000"/>
        </w:rPr>
      </w:pPr>
      <w:r>
        <w:rPr>
          <w:rFonts w:cs="ArialMT" w:ascii="Source Serif Pro" w:hAnsi="Source Serif Pro"/>
          <w:color w:val="000000"/>
        </w:rPr>
        <w:t>Zákonný zástupce souhlasí s pořizováním fotografií v průběhu tábora a jejich použití pro účely organizátora, pro doložení podkladů řídícímu orgánu OPZ+, pro prezentaci táborů na webových stránkách organizátora, výroční zprávě organizátora.</w:t>
      </w:r>
    </w:p>
    <w:p>
      <w:pPr>
        <w:pStyle w:val="ListParagraph"/>
        <w:numPr>
          <w:ilvl w:val="1"/>
          <w:numId w:val="1"/>
        </w:numPr>
        <w:spacing w:before="120" w:after="120"/>
        <w:contextualSpacing w:val="false"/>
        <w:jc w:val="both"/>
        <w:rPr>
          <w:rFonts w:ascii="Source Serif Pro" w:hAnsi="Source Serif Pro" w:cs="ArialMT"/>
          <w:color w:val="000000"/>
        </w:rPr>
      </w:pPr>
      <w:r>
        <w:rPr>
          <w:rFonts w:cs="ArialMT" w:ascii="Source Serif Pro" w:hAnsi="Source Serif Pro"/>
          <w:color w:val="000000"/>
        </w:rPr>
        <w:t>Osobní údaje je organizátor povinen zpracovávat výhradně v souvislosti s realizací projektu, zejména pak při přípravě zpráv o realizaci projektu CZ.03.02.01/00/25_084/0006261. Organizátor je oprávněn zpracovávat osobní údaje po dobu deseti let od ukončení realizace projektu.</w:t>
      </w:r>
    </w:p>
    <w:p>
      <w:pPr>
        <w:pStyle w:val="Normal"/>
        <w:spacing w:before="0" w:after="0"/>
        <w:rPr>
          <w:rFonts w:ascii="Source Serif Pro" w:hAnsi="Source Serif Pro" w:cs="ArialMT"/>
          <w:b/>
          <w:color w:val="000000"/>
        </w:rPr>
      </w:pPr>
      <w:r>
        <w:rPr>
          <w:rFonts w:cs="ArialMT" w:ascii="Source Serif Pro" w:hAnsi="Source Serif Pro"/>
          <w:b/>
          <w:color w:val="000000"/>
        </w:rPr>
      </w:r>
    </w:p>
    <w:p>
      <w:pPr>
        <w:pStyle w:val="ListParagraph"/>
        <w:numPr>
          <w:ilvl w:val="0"/>
          <w:numId w:val="1"/>
        </w:numPr>
        <w:spacing w:before="0" w:after="0"/>
        <w:contextualSpacing w:val="false"/>
        <w:jc w:val="center"/>
        <w:rPr>
          <w:rFonts w:ascii="Source Serif Pro" w:hAnsi="Source Serif Pro"/>
        </w:rPr>
      </w:pPr>
      <w:r>
        <w:rPr>
          <w:rFonts w:ascii="Source Serif Pro" w:hAnsi="Source Serif Pro"/>
        </w:rPr>
        <w:t>Závěrečná ustanovení</w:t>
      </w:r>
    </w:p>
    <w:p>
      <w:pPr>
        <w:pStyle w:val="ListParagraph"/>
        <w:spacing w:before="0" w:after="0"/>
        <w:contextualSpacing w:val="false"/>
        <w:rPr>
          <w:rFonts w:ascii="Source Serif Pro" w:hAnsi="Source Serif Pro"/>
        </w:rPr>
      </w:pPr>
      <w:r>
        <w:rPr>
          <w:rFonts w:ascii="Source Serif Pro" w:hAnsi="Source Serif Pro"/>
        </w:rPr>
      </w:r>
    </w:p>
    <w:p>
      <w:pPr>
        <w:pStyle w:val="ListParagraph"/>
        <w:numPr>
          <w:ilvl w:val="1"/>
          <w:numId w:val="1"/>
        </w:numPr>
        <w:spacing w:before="120" w:after="120"/>
        <w:contextualSpacing w:val="false"/>
        <w:jc w:val="both"/>
        <w:rPr>
          <w:rFonts w:ascii="Source Serif Pro" w:hAnsi="Source Serif Pro" w:cs="ArialMT"/>
          <w:color w:val="000000"/>
        </w:rPr>
      </w:pPr>
      <w:r>
        <w:rPr>
          <w:rFonts w:cs="ArialMT" w:ascii="Source Serif Pro" w:hAnsi="Source Serif Pro"/>
          <w:color w:val="000000"/>
        </w:rPr>
        <w:t>Zákonný zástupce svým podpisem přihlášky a smlouvy stvrzuje, že se seznámil se smluvními podmínkami a souhlasí s nimi, poučí své dítě přiměřeně k jeho věku o nutnosti tyto smluvní podmínky respektovat, poučí dítě o následcích pro případ porušení těchto podmínek.</w:t>
      </w:r>
    </w:p>
    <w:p>
      <w:pPr>
        <w:pStyle w:val="ListParagraph"/>
        <w:numPr>
          <w:ilvl w:val="1"/>
          <w:numId w:val="1"/>
        </w:numPr>
        <w:spacing w:before="120" w:after="120"/>
        <w:contextualSpacing w:val="false"/>
        <w:jc w:val="both"/>
        <w:rPr>
          <w:rFonts w:ascii="Source Serif Pro" w:hAnsi="Source Serif Pro" w:cs="ArialMT"/>
          <w:color w:val="000000"/>
        </w:rPr>
      </w:pPr>
      <w:r>
        <w:rPr>
          <w:rFonts w:cs="ArialMT" w:ascii="Source Serif Pro" w:hAnsi="Source Serif Pro"/>
          <w:color w:val="000000"/>
        </w:rPr>
        <w:t>Otázky touto smlouvou neupravené se řídí Občanským zákoníkem a dalšími platnými předpisy České republiky.</w:t>
      </w:r>
      <w:bookmarkStart w:id="0" w:name="_Toc118629578"/>
      <w:bookmarkEnd w:id="0"/>
    </w:p>
    <w:p>
      <w:pPr>
        <w:pStyle w:val="ListParagraph"/>
        <w:numPr>
          <w:ilvl w:val="1"/>
          <w:numId w:val="1"/>
        </w:numPr>
        <w:spacing w:before="120" w:after="120"/>
        <w:contextualSpacing w:val="false"/>
        <w:jc w:val="both"/>
        <w:rPr>
          <w:rFonts w:ascii="Source Serif Pro" w:hAnsi="Source Serif Pro" w:cs="ArialMT"/>
          <w:color w:val="000000"/>
        </w:rPr>
      </w:pPr>
      <w:r>
        <w:rPr>
          <w:rFonts w:cs="ArialMT" w:ascii="Source Serif Pro" w:hAnsi="Source Serif Pro"/>
          <w:color w:val="000000"/>
        </w:rPr>
        <w:t xml:space="preserve">Tato </w:t>
      </w:r>
      <w:bookmarkStart w:id="1" w:name="_Toc118629582"/>
      <w:r>
        <w:rPr>
          <w:rFonts w:cs="ArialMT" w:ascii="Source Serif Pro" w:hAnsi="Source Serif Pro"/>
          <w:color w:val="000000"/>
        </w:rPr>
        <w:t>Smlouva nabývá platnosti a účinnosti dnem jejího podpisu smluvními stranami.</w:t>
      </w:r>
      <w:bookmarkEnd w:id="1"/>
    </w:p>
    <w:p>
      <w:pPr>
        <w:pStyle w:val="ListParagraph"/>
        <w:numPr>
          <w:ilvl w:val="1"/>
          <w:numId w:val="1"/>
        </w:numPr>
        <w:spacing w:before="120" w:after="120"/>
        <w:contextualSpacing w:val="false"/>
        <w:jc w:val="both"/>
        <w:rPr>
          <w:rFonts w:ascii="Source Serif Pro" w:hAnsi="Source Serif Pro" w:cs="ArialMT"/>
          <w:color w:val="000000"/>
        </w:rPr>
      </w:pPr>
      <w:r>
        <w:rPr>
          <w:rFonts w:cs="ArialMT" w:ascii="Source Serif Pro" w:hAnsi="Source Serif Pro"/>
          <w:color w:val="000000"/>
        </w:rPr>
        <w:t xml:space="preserve">Zákonný zástupce prohlašuje, že disponuje souhlasem všech ostatních zákonných zástupců dítěte s jeho účastí na táboře a s podmínkami uvedenými v této smlouvě. </w:t>
      </w:r>
    </w:p>
    <w:p>
      <w:pPr>
        <w:pStyle w:val="ListParagraph"/>
        <w:spacing w:before="120" w:after="120"/>
        <w:contextualSpacing w:val="false"/>
        <w:jc w:val="both"/>
        <w:rPr>
          <w:rFonts w:ascii="Source Serif Pro" w:hAnsi="Source Serif Pro" w:cs="ArialMT"/>
          <w:color w:val="000000"/>
        </w:rPr>
      </w:pPr>
      <w:r>
        <w:rPr>
          <w:rFonts w:cs="ArialMT" w:ascii="Source Serif Pro" w:hAnsi="Source Serif Pro"/>
          <w:color w:val="000000"/>
        </w:rPr>
      </w:r>
    </w:p>
    <w:p>
      <w:pPr>
        <w:pStyle w:val="ListParagraph"/>
        <w:spacing w:before="120" w:after="120"/>
        <w:contextualSpacing w:val="false"/>
        <w:jc w:val="both"/>
        <w:rPr>
          <w:rFonts w:ascii="Source Serif Pro" w:hAnsi="Source Serif Pro" w:cs="ArialMT"/>
          <w:color w:val="000000"/>
        </w:rPr>
      </w:pPr>
      <w:r>
        <w:rPr>
          <w:rFonts w:cs="ArialMT" w:ascii="Source Serif Pro" w:hAnsi="Source Serif Pro"/>
          <w:color w:val="000000"/>
        </w:rPr>
      </w:r>
    </w:p>
    <w:p>
      <w:pPr>
        <w:pStyle w:val="ListParagraph"/>
        <w:spacing w:before="120" w:after="120"/>
        <w:contextualSpacing w:val="false"/>
        <w:jc w:val="both"/>
        <w:rPr>
          <w:rFonts w:ascii="Source Serif Pro" w:hAnsi="Source Serif Pro" w:cs="ArialMT"/>
          <w:color w:val="000000"/>
        </w:rPr>
      </w:pPr>
      <w:r>
        <w:rPr>
          <w:rFonts w:cs="ArialMT" w:ascii="Source Serif Pro" w:hAnsi="Source Serif Pro"/>
          <w:color w:val="000000"/>
        </w:rPr>
      </w:r>
    </w:p>
    <w:tbl>
      <w:tblPr>
        <w:tblStyle w:val="Mkatabulky"/>
        <w:tblW w:w="9240" w:type="dxa"/>
        <w:jc w:val="start"/>
        <w:tblInd w:w="683" w:type="dxa"/>
        <w:tblLayout w:type="fixed"/>
        <w:tblCellMar>
          <w:top w:w="55" w:type="dxa"/>
          <w:start w:w="108" w:type="dxa"/>
          <w:bottom w:w="55" w:type="dxa"/>
          <w:end w:w="108" w:type="dxa"/>
        </w:tblCellMar>
        <w:tblLook w:firstRow="1" w:noVBand="1" w:lastRow="0" w:firstColumn="1" w:lastColumn="0" w:noHBand="0" w:val="04a0"/>
      </w:tblPr>
      <w:tblGrid>
        <w:gridCol w:w="4194"/>
        <w:gridCol w:w="5046"/>
      </w:tblGrid>
      <w:tr>
        <w:trPr>
          <w:trHeight w:val="80" w:hRule="atLeast"/>
        </w:trPr>
        <w:tc>
          <w:tcPr>
            <w:tcW w:w="4194" w:type="dxa"/>
            <w:tcBorders>
              <w:top w:val="nil"/>
              <w:start w:val="nil"/>
              <w:bottom w:val="nil"/>
              <w:end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ascii="Source Serif Pro" w:hAnsi="Source Serif Pro" w:eastAsia="Calibri"/>
              </w:rPr>
            </w:pPr>
            <w:r>
              <w:rPr>
                <w:rFonts w:eastAsia="Calibri" w:cs="" w:ascii="Source Serif Pro" w:hAnsi="Source Serif Pro"/>
                <w:kern w:val="0"/>
                <w:sz w:val="22"/>
                <w:szCs w:val="22"/>
                <w:lang w:val="cs-CZ" w:eastAsia="en-US" w:bidi="ar-SA"/>
              </w:rPr>
              <w:t xml:space="preserve">V </w:t>
            </w:r>
            <w:r>
              <w:rPr>
                <w:rFonts w:eastAsia="Calibri" w:cs="" w:ascii="Source Serif Pro" w:hAnsi="Source Serif Pro"/>
                <w:kern w:val="0"/>
                <w:sz w:val="22"/>
                <w:szCs w:val="22"/>
                <w:lang w:val="cs-CZ" w:eastAsia="en-US" w:bidi="ar-SA"/>
              </w:rPr>
              <w:t>__________________</w:t>
            </w:r>
            <w:r>
              <w:rPr>
                <w:rFonts w:eastAsia="Calibri" w:cs="" w:ascii="Source Serif Pro" w:hAnsi="Source Serif Pro"/>
                <w:kern w:val="0"/>
                <w:sz w:val="22"/>
                <w:szCs w:val="22"/>
                <w:lang w:val="cs-CZ" w:eastAsia="en-US" w:bidi="ar-SA"/>
              </w:rPr>
              <w:t>, dne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ascii="Source Serif Pro" w:hAnsi="Source Serif Pro" w:eastAsia="Calibri"/>
              </w:rPr>
            </w:pPr>
            <w:r>
              <w:rPr>
                <w:rFonts w:eastAsia="Calibri" w:ascii="Source Serif Pro" w:hAnsi="Source Serif Pro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ascii="Source Serif Pro" w:hAnsi="Source Serif Pro" w:eastAsia="Calibri"/>
              </w:rPr>
            </w:pPr>
            <w:r>
              <w:rPr>
                <w:rFonts w:eastAsia="Calibri" w:ascii="Source Serif Pro" w:hAnsi="Source Serif Pro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ascii="Source Serif Pro" w:hAnsi="Source Serif Pro" w:eastAsia="Calibri"/>
              </w:rPr>
            </w:pPr>
            <w:r>
              <w:rPr>
                <w:rFonts w:eastAsia="Calibri" w:ascii="Source Serif Pro" w:hAnsi="Source Serif Pro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ascii="Source Serif Pro" w:hAnsi="Source Serif Pro" w:eastAsia="Calibri"/>
              </w:rPr>
            </w:pPr>
            <w:r>
              <w:rPr>
                <w:rFonts w:eastAsia="Calibri" w:ascii="Source Serif Pro" w:hAnsi="Source Serif Pro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ascii="Source Serif Pro" w:hAnsi="Source Serif Pro" w:eastAsia="Calibri"/>
              </w:rPr>
            </w:pPr>
            <w:r>
              <w:rPr>
                <w:rFonts w:eastAsia="Calibri" w:ascii="Source Serif Pro" w:hAnsi="Source Serif Pro"/>
              </w:rPr>
              <mc:AlternateContent>
                <mc:Choice Requires="wps">
                  <w:drawing>
                    <wp:anchor behindDoc="0" distT="635" distB="635" distL="635" distR="635" simplePos="0" locked="0" layoutInCell="1" allowOverlap="1" relativeHeight="10" wp14:anchorId="499DFC35">
                      <wp:simplePos x="0" y="0"/>
                      <wp:positionH relativeFrom="column">
                        <wp:posOffset>-3175</wp:posOffset>
                      </wp:positionH>
                      <wp:positionV relativeFrom="paragraph">
                        <wp:posOffset>122555</wp:posOffset>
                      </wp:positionV>
                      <wp:extent cx="1666875" cy="635"/>
                      <wp:effectExtent l="635" t="635" r="635" b="635"/>
                      <wp:wrapNone/>
                      <wp:docPr id="1" name="Vodorovná čára 1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66800" cy="720"/>
                              </a:xfrm>
                              <a:prstGeom prst="line">
                                <a:avLst/>
                              </a:prstGeom>
                              <a:ln w="0">
                                <a:solidFill>
                                  <a:srgbClr val="3465a4"/>
                                </a:solidFill>
                              </a:ln>
                            </wps:spPr>
                            <wps:style>
                              <a:lnRef idx="0"/>
                              <a:fillRef idx="0"/>
                              <a:effectRef idx="0"/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shape_0" from="-0.25pt,9.65pt" to="130.95pt,9.65pt" stroked="t" o:allowincell="t" style="position:absolute" wp14:anchorId="499DFC35">
                      <v:stroke color="#3465a4" joinstyle="round" endcap="flat"/>
                      <v:fill o:detectmouseclick="t" on="false"/>
                      <w10:wrap type="none"/>
                    </v:line>
                  </w:pict>
                </mc:Fallback>
              </mc:AlternateContent>
              <mc:AlternateContent>
                <mc:Choice Requires="wps">
                  <w:drawing>
                    <wp:anchor behindDoc="0" distT="635" distB="635" distL="635" distR="635" simplePos="0" locked="0" layoutInCell="1" allowOverlap="1" relativeHeight="11" wp14:anchorId="7E1BAB43">
                      <wp:simplePos x="0" y="0"/>
                      <wp:positionH relativeFrom="column">
                        <wp:posOffset>-3175</wp:posOffset>
                      </wp:positionH>
                      <wp:positionV relativeFrom="paragraph">
                        <wp:posOffset>122555</wp:posOffset>
                      </wp:positionV>
                      <wp:extent cx="1666875" cy="635"/>
                      <wp:effectExtent l="635" t="635" r="635" b="635"/>
                      <wp:wrapNone/>
                      <wp:docPr id="2" name="Vodorovná čára 2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66800" cy="720"/>
                              </a:xfrm>
                              <a:prstGeom prst="line">
                                <a:avLst/>
                              </a:prstGeom>
                              <a:ln w="0">
                                <a:solidFill>
                                  <a:srgbClr val="3465a4"/>
                                </a:solidFill>
                              </a:ln>
                            </wps:spPr>
                            <wps:style>
                              <a:lnRef idx="0"/>
                              <a:fillRef idx="0"/>
                              <a:effectRef idx="0"/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shape_0" from="-0.25pt,9.65pt" to="130.95pt,9.65pt" stroked="t" o:allowincell="t" style="position:absolute" wp14:anchorId="7E1BAB43">
                      <v:stroke color="#3465a4" joinstyle="round" endcap="flat"/>
                      <v:fill o:detectmouseclick="t" on="false"/>
                      <w10:wrap type="none"/>
                    </v:line>
                  </w:pict>
                </mc:Fallback>
              </mc:AlternateContent>
              <mc:AlternateContent>
                <mc:Choice Requires="wps">
                  <w:drawing>
                    <wp:anchor behindDoc="0" distT="635" distB="635" distL="635" distR="635" simplePos="0" locked="0" layoutInCell="1" allowOverlap="1" relativeHeight="12" wp14:anchorId="659DF81A">
                      <wp:simplePos x="0" y="0"/>
                      <wp:positionH relativeFrom="column">
                        <wp:posOffset>-3175</wp:posOffset>
                      </wp:positionH>
                      <wp:positionV relativeFrom="paragraph">
                        <wp:posOffset>122555</wp:posOffset>
                      </wp:positionV>
                      <wp:extent cx="1666875" cy="635"/>
                      <wp:effectExtent l="635" t="635" r="635" b="635"/>
                      <wp:wrapNone/>
                      <wp:docPr id="3" name="Vodorovná čára 3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66800" cy="720"/>
                              </a:xfrm>
                              <a:prstGeom prst="line">
                                <a:avLst/>
                              </a:prstGeom>
                              <a:ln w="0">
                                <a:solidFill>
                                  <a:srgbClr val="000000"/>
                                </a:solidFill>
                              </a:ln>
                            </wps:spPr>
                            <wps:style>
                              <a:lnRef idx="0"/>
                              <a:fillRef idx="0"/>
                              <a:effectRef idx="0"/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shape_0" from="-0.25pt,9.65pt" to="130.95pt,9.65pt" stroked="t" o:allowincell="t" style="position:absolute" wp14:anchorId="659DF81A">
                      <v:stroke color="black" joinstyle="round" endcap="flat"/>
                      <v:fill o:detectmouseclick="t" on="false"/>
                      <w10:wrap type="none"/>
                    </v:line>
                  </w:pict>
                </mc:Fallback>
              </mc:AlternateContent>
              <mc:AlternateContent>
                <mc:Choice Requires="wps">
                  <w:drawing>
                    <wp:anchor behindDoc="0" distT="635" distB="635" distL="635" distR="635" simplePos="0" locked="0" layoutInCell="1" allowOverlap="1" relativeHeight="13" wp14:anchorId="5F366B37">
                      <wp:simplePos x="0" y="0"/>
                      <wp:positionH relativeFrom="column">
                        <wp:posOffset>-3175</wp:posOffset>
                      </wp:positionH>
                      <wp:positionV relativeFrom="paragraph">
                        <wp:posOffset>122555</wp:posOffset>
                      </wp:positionV>
                      <wp:extent cx="1666875" cy="635"/>
                      <wp:effectExtent l="635" t="635" r="635" b="635"/>
                      <wp:wrapNone/>
                      <wp:docPr id="4" name="Vodorovná čára 4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66800" cy="720"/>
                              </a:xfrm>
                              <a:prstGeom prst="line">
                                <a:avLst/>
                              </a:prstGeom>
                              <a:ln w="0">
                                <a:solidFill>
                                  <a:srgbClr val="000000"/>
                                </a:solidFill>
                              </a:ln>
                            </wps:spPr>
                            <wps:style>
                              <a:lnRef idx="0"/>
                              <a:fillRef idx="0"/>
                              <a:effectRef idx="0"/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shape_0" from="-0.25pt,9.65pt" to="130.95pt,9.65pt" stroked="t" o:allowincell="t" style="position:absolute" wp14:anchorId="5F366B37">
                      <v:stroke color="black" joinstyle="round" endcap="flat"/>
                      <v:fill o:detectmouseclick="t" on="false"/>
                      <w10:wrap type="none"/>
                    </v:line>
                  </w:pict>
                </mc:Fallback>
              </mc:AlternateConten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ascii="Source Serif Pro" w:hAnsi="Source Serif Pro" w:eastAsia="Calibri"/>
              </w:rPr>
            </w:pPr>
            <w:r>
              <w:rPr>
                <w:rFonts w:eastAsia="Calibri" w:cs="" w:ascii="Source Serif Pro" w:hAnsi="Source Serif Pro"/>
                <w:kern w:val="0"/>
                <w:sz w:val="22"/>
                <w:szCs w:val="22"/>
                <w:lang w:val="cs-CZ" w:eastAsia="en-US" w:bidi="ar-SA"/>
              </w:rPr>
              <w:t>Zákonný zástupce</w:t>
            </w:r>
          </w:p>
        </w:tc>
        <w:tc>
          <w:tcPr>
            <w:tcW w:w="5046" w:type="dxa"/>
            <w:tcBorders>
              <w:top w:val="nil"/>
              <w:start w:val="nil"/>
              <w:bottom w:val="nil"/>
              <w:end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start="454" w:end="567"/>
              <w:jc w:val="start"/>
              <w:rPr>
                <w:rFonts w:ascii="Source Serif Pro" w:hAnsi="Source Serif Pro" w:eastAsia="Calibri"/>
              </w:rPr>
            </w:pPr>
            <w:r>
              <w:rPr>
                <w:rFonts w:eastAsia="Calibri" w:cs="" w:ascii="Source Serif Pro" w:hAnsi="Source Serif Pro"/>
                <w:kern w:val="0"/>
                <w:sz w:val="22"/>
                <w:szCs w:val="22"/>
                <w:lang w:val="cs-CZ" w:eastAsia="en-US" w:bidi="ar-SA"/>
              </w:rPr>
              <w:t>V Suché Lozi, dne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ind w:start="454" w:end="567"/>
              <w:jc w:val="start"/>
              <w:rPr>
                <w:rFonts w:ascii="Source Serif Pro" w:hAnsi="Source Serif Pro" w:eastAsia="Calibri"/>
              </w:rPr>
            </w:pPr>
            <w:r>
              <w:rPr>
                <w:rFonts w:eastAsia="Calibri" w:ascii="Source Serif Pro" w:hAnsi="Source Serif Pro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ind w:start="454" w:end="567"/>
              <w:jc w:val="start"/>
              <w:rPr>
                <w:rFonts w:ascii="Source Serif Pro" w:hAnsi="Source Serif Pro"/>
              </w:rPr>
            </w:pPr>
            <w:r>
              <w:rPr>
                <w:rFonts w:ascii="Source Serif Pro" w:hAnsi="Source Serif Pro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ind w:start="454" w:end="567"/>
              <w:jc w:val="start"/>
              <w:rPr>
                <w:rFonts w:ascii="Source Serif Pro" w:hAnsi="Source Serif Pro"/>
              </w:rPr>
            </w:pPr>
            <w:r>
              <w:rPr>
                <w:rFonts w:ascii="Source Serif Pro" w:hAnsi="Source Serif Pro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ind w:start="454" w:end="567"/>
              <w:jc w:val="start"/>
              <w:rPr>
                <w:rFonts w:ascii="Source Serif Pro" w:hAnsi="Source Serif Pro"/>
              </w:rPr>
            </w:pPr>
            <w:r>
              <w:rPr>
                <w:rFonts w:ascii="Source Serif Pro" w:hAnsi="Source Serif Pro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ind w:start="454" w:end="567"/>
              <w:jc w:val="start"/>
              <w:rPr>
                <w:rFonts w:ascii="Source Serif Pro" w:hAnsi="Source Serif Pro"/>
              </w:rPr>
            </w:pPr>
            <w:r>
              <w:rPr>
                <w:rFonts w:ascii="Source Serif Pro" w:hAnsi="Source Serif Pro"/>
              </w:rPr>
              <mc:AlternateContent>
                <mc:Choice Requires="wps">
                  <w:drawing>
                    <wp:anchor behindDoc="0" distT="635" distB="635" distL="635" distR="635" simplePos="0" locked="0" layoutInCell="1" allowOverlap="1" relativeHeight="14" wp14:anchorId="574EE414">
                      <wp:simplePos x="0" y="0"/>
                      <wp:positionH relativeFrom="column">
                        <wp:posOffset>301625</wp:posOffset>
                      </wp:positionH>
                      <wp:positionV relativeFrom="paragraph">
                        <wp:posOffset>122555</wp:posOffset>
                      </wp:positionV>
                      <wp:extent cx="1666875" cy="635"/>
                      <wp:effectExtent l="635" t="635" r="635" b="635"/>
                      <wp:wrapNone/>
                      <wp:docPr id="5" name="Vodorovná čára 5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66800" cy="720"/>
                              </a:xfrm>
                              <a:prstGeom prst="line">
                                <a:avLst/>
                              </a:prstGeom>
                              <a:ln w="0">
                                <a:solidFill>
                                  <a:srgbClr val="000000"/>
                                </a:solidFill>
                              </a:ln>
                            </wps:spPr>
                            <wps:style>
                              <a:lnRef idx="0"/>
                              <a:fillRef idx="0"/>
                              <a:effectRef idx="0"/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shape_0" from="23.75pt,9.65pt" to="154.95pt,9.65pt" stroked="t" o:allowincell="t" style="position:absolute" wp14:anchorId="574EE414">
                      <v:stroke color="black" joinstyle="round" endcap="flat"/>
                      <v:fill o:detectmouseclick="t" on="false"/>
                      <w10:wrap type="none"/>
                    </v:line>
                  </w:pict>
                </mc:Fallback>
              </mc:AlternateConten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ind w:start="454" w:end="567"/>
              <w:jc w:val="start"/>
              <w:rPr>
                <w:rFonts w:ascii="Source Serif Pro" w:hAnsi="Source Serif Pro"/>
              </w:rPr>
            </w:pPr>
            <w:r>
              <w:rPr>
                <w:rFonts w:eastAsia="Calibri" w:cs="" w:ascii="Source Serif Pro" w:hAnsi="Source Serif Pro"/>
                <w:kern w:val="0"/>
                <w:sz w:val="22"/>
                <w:szCs w:val="22"/>
                <w:lang w:val="cs-CZ" w:eastAsia="en-US" w:bidi="ar-SA"/>
              </w:rPr>
              <w:t xml:space="preserve">Vojtěch Surmař – koordinátor projektu 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ind w:start="454" w:end="567"/>
              <w:jc w:val="start"/>
              <w:rPr>
                <w:rFonts w:ascii="Source Serif Pro" w:hAnsi="Source Serif Pro"/>
              </w:rPr>
            </w:pPr>
            <w:r>
              <w:rPr>
                <w:rFonts w:eastAsia="Calibri" w:cs="" w:ascii="Source Serif Pro" w:hAnsi="Source Serif Pro"/>
                <w:kern w:val="0"/>
                <w:sz w:val="22"/>
                <w:szCs w:val="22"/>
                <w:lang w:val="cs-CZ" w:eastAsia="en-US" w:bidi="ar-SA"/>
              </w:rPr>
              <w:t xml:space="preserve">MAS Východní Slovácko, z. s. 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ind w:start="454" w:end="567"/>
              <w:jc w:val="start"/>
              <w:rPr>
                <w:rFonts w:ascii="Source Serif Pro" w:hAnsi="Source Serif Pro"/>
              </w:rPr>
            </w:pPr>
            <w:r>
              <w:rPr>
                <w:rFonts w:eastAsia="Calibri" w:cs="" w:ascii="Source Serif Pro" w:hAnsi="Source Serif Pro"/>
                <w:kern w:val="0"/>
                <w:sz w:val="22"/>
                <w:szCs w:val="22"/>
                <w:lang w:val="cs-CZ" w:eastAsia="en-US" w:bidi="ar-SA"/>
              </w:rPr>
              <w:t>Organizátor</w:t>
            </w:r>
          </w:p>
        </w:tc>
      </w:tr>
    </w:tbl>
    <w:p>
      <w:pPr>
        <w:pStyle w:val="Normal"/>
        <w:spacing w:before="0" w:after="160"/>
        <w:rPr>
          <w:rFonts w:ascii="Source Serif Pro" w:hAnsi="Source Serif Pro"/>
        </w:rPr>
      </w:pPr>
      <w:r>
        <w:rPr>
          <w:rFonts w:ascii="Source Serif Pro" w:hAnsi="Source Serif Pro"/>
        </w:rPr>
      </w:r>
    </w:p>
    <w:sectPr>
      <w:headerReference w:type="even" r:id="rId2"/>
      <w:headerReference w:type="default" r:id="rId3"/>
      <w:headerReference w:type="first" r:id="rId4"/>
      <w:footerReference w:type="even" r:id="rId5"/>
      <w:footerReference w:type="default" r:id="rId6"/>
      <w:footerReference w:type="first" r:id="rId7"/>
      <w:type w:val="nextPage"/>
      <w:pgSz w:w="11906" w:h="16838"/>
      <w:pgMar w:left="1417" w:right="1417" w:gutter="0" w:header="708" w:top="1417" w:footer="708" w:bottom="1417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ee" w:characterSet="windows-1250"/>
    <w:family w:val="roman"/>
    <w:pitch w:val="variable"/>
  </w:font>
  <w:font w:name="Calibri">
    <w:charset w:val="ee" w:characterSet="windows-1250"/>
    <w:family w:val="roman"/>
    <w:pitch w:val="variable"/>
  </w:font>
  <w:font w:name="Times New Roman">
    <w:charset w:val="ee" w:characterSet="windows-1250"/>
    <w:family w:val="roman"/>
    <w:pitch w:val="variable"/>
  </w:font>
  <w:font w:name="Liberation Sans">
    <w:altName w:val="Arial"/>
    <w:charset w:val="ee" w:characterSet="windows-1250"/>
    <w:family w:val="swiss"/>
    <w:pitch w:val="variable"/>
  </w:font>
  <w:font w:name="Arial">
    <w:charset w:val="ee" w:characterSet="windows-1250"/>
    <w:family w:val="swiss"/>
    <w:pitch w:val="variable"/>
  </w:font>
  <w:font w:name="Source Sans Pro Black">
    <w:charset w:val="ee" w:characterSet="windows-1250"/>
    <w:family w:val="swiss"/>
    <w:pitch w:val="variable"/>
  </w:font>
  <w:font w:name="Source Serif Pro">
    <w:charset w:val="ee" w:characterSet="windows-125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Top of Page)"/>
        <w:docPartUnique w:val="true"/>
      </w:docPartObj>
      <w:id w:val="-1705238520"/>
    </w:sdtPr>
    <w:sdtContent>
      <w:p>
        <w:pPr>
          <w:pStyle w:val="Footer"/>
          <w:jc w:val="center"/>
          <w:rPr>
            <w:color w:themeColor="background1" w:themeShade="80" w:val="808080"/>
          </w:rPr>
        </w:pPr>
        <w:r>
          <w:rPr>
            <w:rFonts w:ascii="Source Serif Pro" w:hAnsi="Source Serif Pro"/>
            <w:color w:themeColor="background1" w:themeShade="80" w:val="808080"/>
          </w:rPr>
          <w:t xml:space="preserve">Stránka </w:t>
        </w:r>
        <w:r>
          <w:rPr>
            <w:rFonts w:ascii="Source Serif Pro" w:hAnsi="Source Serif Pro"/>
            <w:b/>
            <w:bCs/>
            <w:color w:themeColor="background1" w:themeShade="80" w:val="808080"/>
            <w:sz w:val="24"/>
            <w:szCs w:val="24"/>
          </w:rPr>
          <w:fldChar w:fldCharType="begin"/>
        </w:r>
        <w:r>
          <w:rPr>
            <w:rFonts w:ascii="Source Serif Pro" w:hAnsi="Source Serif Pro"/>
            <w:b/>
            <w:bCs/>
            <w:color w:themeColor="background1" w:themeShade="80" w:val="808080"/>
            <w:sz w:val="24"/>
            <w:szCs w:val="24"/>
          </w:rPr>
          <w:instrText xml:space="preserve"> PAGE </w:instrText>
        </w:r>
        <w:r>
          <w:rPr>
            <w:rFonts w:ascii="Source Serif Pro" w:hAnsi="Source Serif Pro"/>
            <w:b/>
            <w:bCs/>
            <w:color w:themeColor="background1" w:themeShade="80" w:val="808080"/>
            <w:sz w:val="24"/>
            <w:szCs w:val="24"/>
          </w:rPr>
          <w:fldChar w:fldCharType="separate"/>
        </w:r>
        <w:r>
          <w:rPr>
            <w:rFonts w:ascii="Source Serif Pro" w:hAnsi="Source Serif Pro"/>
            <w:b/>
            <w:bCs/>
            <w:color w:themeColor="background1" w:themeShade="80" w:val="808080"/>
            <w:sz w:val="24"/>
            <w:szCs w:val="24"/>
          </w:rPr>
          <w:t>4</w:t>
        </w:r>
        <w:r>
          <w:rPr>
            <w:rFonts w:ascii="Source Serif Pro" w:hAnsi="Source Serif Pro"/>
            <w:b/>
            <w:bCs/>
            <w:color w:themeColor="background1" w:themeShade="80" w:val="808080"/>
            <w:sz w:val="24"/>
            <w:szCs w:val="24"/>
          </w:rPr>
          <w:fldChar w:fldCharType="end"/>
        </w:r>
        <w:r>
          <w:rPr>
            <w:rFonts w:ascii="Source Serif Pro" w:hAnsi="Source Serif Pro"/>
            <w:color w:themeColor="background1" w:themeShade="80" w:val="808080"/>
          </w:rPr>
          <w:t xml:space="preserve"> z </w:t>
        </w:r>
        <w:r>
          <w:rPr>
            <w:rFonts w:ascii="Source Serif Pro" w:hAnsi="Source Serif Pro"/>
            <w:b/>
            <w:bCs/>
            <w:color w:themeColor="background1" w:themeShade="80" w:val="808080"/>
            <w:sz w:val="24"/>
            <w:szCs w:val="24"/>
          </w:rPr>
          <w:fldChar w:fldCharType="begin"/>
        </w:r>
        <w:r>
          <w:rPr>
            <w:rFonts w:ascii="Source Serif Pro" w:hAnsi="Source Serif Pro"/>
            <w:b/>
            <w:bCs/>
            <w:color w:themeColor="background1" w:themeShade="80" w:val="808080"/>
            <w:sz w:val="24"/>
            <w:szCs w:val="24"/>
          </w:rPr>
          <w:instrText xml:space="preserve"> NUMPAGES </w:instrText>
        </w:r>
        <w:r>
          <w:rPr>
            <w:rFonts w:ascii="Source Serif Pro" w:hAnsi="Source Serif Pro"/>
            <w:b/>
            <w:bCs/>
            <w:color w:themeColor="background1" w:themeShade="80" w:val="808080"/>
            <w:sz w:val="24"/>
            <w:szCs w:val="24"/>
          </w:rPr>
          <w:fldChar w:fldCharType="separate"/>
        </w:r>
        <w:r>
          <w:rPr>
            <w:rFonts w:ascii="Source Serif Pro" w:hAnsi="Source Serif Pro"/>
            <w:b/>
            <w:bCs/>
            <w:color w:themeColor="background1" w:themeShade="80" w:val="808080"/>
            <w:sz w:val="24"/>
            <w:szCs w:val="24"/>
          </w:rPr>
          <w:t>4</w:t>
        </w:r>
        <w:r>
          <w:rPr>
            <w:rFonts w:ascii="Source Serif Pro" w:hAnsi="Source Serif Pro"/>
            <w:b/>
            <w:bCs/>
            <w:color w:themeColor="background1" w:themeShade="80" w:val="808080"/>
            <w:sz w:val="24"/>
            <w:szCs w:val="24"/>
          </w:rPr>
          <w:fldChar w:fldCharType="end"/>
        </w:r>
      </w:p>
    </w:sdtContent>
  </w:sdt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Top of Page)"/>
        <w:docPartUnique w:val="true"/>
      </w:docPartObj>
      <w:id w:val="-1705238520"/>
    </w:sdtPr>
    <w:sdtContent>
      <w:p>
        <w:pPr>
          <w:pStyle w:val="Footer"/>
          <w:jc w:val="center"/>
          <w:rPr>
            <w:color w:themeColor="background1" w:themeShade="80" w:val="808080"/>
          </w:rPr>
        </w:pPr>
        <w:r>
          <w:rPr>
            <w:rFonts w:ascii="Source Serif Pro" w:hAnsi="Source Serif Pro"/>
            <w:color w:themeColor="background1" w:themeShade="80" w:val="808080"/>
          </w:rPr>
          <w:t xml:space="preserve">Stránka </w:t>
        </w:r>
        <w:r>
          <w:rPr>
            <w:rFonts w:ascii="Source Serif Pro" w:hAnsi="Source Serif Pro"/>
            <w:b/>
            <w:bCs/>
            <w:color w:themeColor="background1" w:themeShade="80" w:val="808080"/>
            <w:sz w:val="24"/>
            <w:szCs w:val="24"/>
          </w:rPr>
          <w:fldChar w:fldCharType="begin"/>
        </w:r>
        <w:r>
          <w:rPr>
            <w:rFonts w:ascii="Source Serif Pro" w:hAnsi="Source Serif Pro"/>
            <w:b/>
            <w:bCs/>
            <w:color w:themeColor="background1" w:themeShade="80" w:val="808080"/>
            <w:sz w:val="24"/>
            <w:szCs w:val="24"/>
          </w:rPr>
          <w:instrText xml:space="preserve"> PAGE </w:instrText>
        </w:r>
        <w:r>
          <w:rPr>
            <w:rFonts w:ascii="Source Serif Pro" w:hAnsi="Source Serif Pro"/>
            <w:b/>
            <w:bCs/>
            <w:color w:themeColor="background1" w:themeShade="80" w:val="808080"/>
            <w:sz w:val="24"/>
            <w:szCs w:val="24"/>
          </w:rPr>
          <w:fldChar w:fldCharType="separate"/>
        </w:r>
        <w:r>
          <w:rPr>
            <w:rFonts w:ascii="Source Serif Pro" w:hAnsi="Source Serif Pro"/>
            <w:b/>
            <w:bCs/>
            <w:color w:themeColor="background1" w:themeShade="80" w:val="808080"/>
            <w:sz w:val="24"/>
            <w:szCs w:val="24"/>
          </w:rPr>
          <w:t>4</w:t>
        </w:r>
        <w:r>
          <w:rPr>
            <w:rFonts w:ascii="Source Serif Pro" w:hAnsi="Source Serif Pro"/>
            <w:b/>
            <w:bCs/>
            <w:color w:themeColor="background1" w:themeShade="80" w:val="808080"/>
            <w:sz w:val="24"/>
            <w:szCs w:val="24"/>
          </w:rPr>
          <w:fldChar w:fldCharType="end"/>
        </w:r>
        <w:r>
          <w:rPr>
            <w:rFonts w:ascii="Source Serif Pro" w:hAnsi="Source Serif Pro"/>
            <w:color w:themeColor="background1" w:themeShade="80" w:val="808080"/>
          </w:rPr>
          <w:t xml:space="preserve"> z </w:t>
        </w:r>
        <w:r>
          <w:rPr>
            <w:rFonts w:ascii="Source Serif Pro" w:hAnsi="Source Serif Pro"/>
            <w:b/>
            <w:bCs/>
            <w:color w:themeColor="background1" w:themeShade="80" w:val="808080"/>
            <w:sz w:val="24"/>
            <w:szCs w:val="24"/>
          </w:rPr>
          <w:fldChar w:fldCharType="begin"/>
        </w:r>
        <w:r>
          <w:rPr>
            <w:rFonts w:ascii="Source Serif Pro" w:hAnsi="Source Serif Pro"/>
            <w:b/>
            <w:bCs/>
            <w:color w:themeColor="background1" w:themeShade="80" w:val="808080"/>
            <w:sz w:val="24"/>
            <w:szCs w:val="24"/>
          </w:rPr>
          <w:instrText xml:space="preserve"> NUMPAGES </w:instrText>
        </w:r>
        <w:r>
          <w:rPr>
            <w:rFonts w:ascii="Source Serif Pro" w:hAnsi="Source Serif Pro"/>
            <w:b/>
            <w:bCs/>
            <w:color w:themeColor="background1" w:themeShade="80" w:val="808080"/>
            <w:sz w:val="24"/>
            <w:szCs w:val="24"/>
          </w:rPr>
          <w:fldChar w:fldCharType="separate"/>
        </w:r>
        <w:r>
          <w:rPr>
            <w:rFonts w:ascii="Source Serif Pro" w:hAnsi="Source Serif Pro"/>
            <w:b/>
            <w:bCs/>
            <w:color w:themeColor="background1" w:themeShade="80" w:val="808080"/>
            <w:sz w:val="24"/>
            <w:szCs w:val="24"/>
          </w:rPr>
          <w:t>4</w:t>
        </w:r>
        <w:r>
          <w:rPr>
            <w:rFonts w:ascii="Source Serif Pro" w:hAnsi="Source Serif Pro"/>
            <w:b/>
            <w:bCs/>
            <w:color w:themeColor="background1" w:themeShade="80" w:val="808080"/>
            <w:sz w:val="24"/>
            <w:szCs w:val="24"/>
          </w:rPr>
          <w:fldChar w:fldCharType="end"/>
        </w:r>
      </w:p>
    </w:sdtContent>
  </w:sdt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  <w:drawing>
        <wp:anchor behindDoc="1" distT="0" distB="0" distL="0" distR="0" simplePos="0" locked="0" layoutInCell="0" allowOverlap="1" relativeHeight="5">
          <wp:simplePos x="0" y="0"/>
          <wp:positionH relativeFrom="column">
            <wp:posOffset>-9525</wp:posOffset>
          </wp:positionH>
          <wp:positionV relativeFrom="paragraph">
            <wp:posOffset>-329565</wp:posOffset>
          </wp:positionV>
          <wp:extent cx="2750820" cy="713105"/>
          <wp:effectExtent l="0" t="0" r="0" b="0"/>
          <wp:wrapSquare wrapText="largest"/>
          <wp:docPr id="6" name="Obrázek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Obrázek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2750820" cy="7131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  <w:drawing>
        <wp:anchor behindDoc="1" distT="0" distB="0" distL="0" distR="0" simplePos="0" locked="0" layoutInCell="1" allowOverlap="1" relativeHeight="9">
          <wp:simplePos x="0" y="0"/>
          <wp:positionH relativeFrom="column">
            <wp:posOffset>5069840</wp:posOffset>
          </wp:positionH>
          <wp:positionV relativeFrom="paragraph">
            <wp:posOffset>-200025</wp:posOffset>
          </wp:positionV>
          <wp:extent cx="645795" cy="476250"/>
          <wp:effectExtent l="0" t="0" r="0" b="0"/>
          <wp:wrapNone/>
          <wp:docPr id="7" name="Obrázek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Obrázek2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645795" cy="4762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  <w:drawing>
        <wp:anchor behindDoc="1" distT="0" distB="0" distL="0" distR="0" simplePos="0" locked="0" layoutInCell="0" allowOverlap="1" relativeHeight="5">
          <wp:simplePos x="0" y="0"/>
          <wp:positionH relativeFrom="column">
            <wp:posOffset>-9525</wp:posOffset>
          </wp:positionH>
          <wp:positionV relativeFrom="paragraph">
            <wp:posOffset>-329565</wp:posOffset>
          </wp:positionV>
          <wp:extent cx="2750820" cy="713105"/>
          <wp:effectExtent l="0" t="0" r="0" b="0"/>
          <wp:wrapSquare wrapText="largest"/>
          <wp:docPr id="8" name="Obrázek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Obrázek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2750820" cy="7131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  <w:drawing>
        <wp:anchor behindDoc="1" distT="0" distB="0" distL="0" distR="0" simplePos="0" locked="0" layoutInCell="1" allowOverlap="1" relativeHeight="9">
          <wp:simplePos x="0" y="0"/>
          <wp:positionH relativeFrom="column">
            <wp:posOffset>5069840</wp:posOffset>
          </wp:positionH>
          <wp:positionV relativeFrom="paragraph">
            <wp:posOffset>-200025</wp:posOffset>
          </wp:positionV>
          <wp:extent cx="645795" cy="476250"/>
          <wp:effectExtent l="0" t="0" r="0" b="0"/>
          <wp:wrapNone/>
          <wp:docPr id="9" name="Obrázek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Obrázek2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645795" cy="4762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upperRoman"/>
      <w:lvlText w:val="%1."/>
      <w:lvlJc w:val="start"/>
      <w:pPr>
        <w:tabs>
          <w:tab w:val="num" w:pos="0"/>
        </w:tabs>
        <w:ind w:start="720" w:hanging="720"/>
      </w:pPr>
      <w:rPr/>
    </w:lvl>
    <w:lvl w:ilvl="1">
      <w:start w:val="1"/>
      <w:numFmt w:val="decimal"/>
      <w:isLgl/>
      <w:lvlText w:val="%1.%2."/>
      <w:lvlJc w:val="start"/>
      <w:pPr>
        <w:tabs>
          <w:tab w:val="num" w:pos="0"/>
        </w:tabs>
        <w:ind w:start="720" w:hanging="720"/>
      </w:pPr>
      <w:rPr/>
    </w:lvl>
    <w:lvl w:ilvl="2">
      <w:start w:val="1"/>
      <w:numFmt w:val="decimal"/>
      <w:isLgl/>
      <w:lvlText w:val="%1.%2.%3."/>
      <w:lvlJc w:val="start"/>
      <w:pPr>
        <w:tabs>
          <w:tab w:val="num" w:pos="0"/>
        </w:tabs>
        <w:ind w:start="720" w:hanging="720"/>
      </w:pPr>
      <w:rPr/>
    </w:lvl>
    <w:lvl w:ilvl="3">
      <w:start w:val="1"/>
      <w:numFmt w:val="decimal"/>
      <w:isLgl/>
      <w:lvlText w:val="%1.%2.%3.%4."/>
      <w:lvlJc w:val="start"/>
      <w:pPr>
        <w:tabs>
          <w:tab w:val="num" w:pos="0"/>
        </w:tabs>
        <w:ind w:start="1080" w:hanging="1080"/>
      </w:pPr>
      <w:rPr/>
    </w:lvl>
    <w:lvl w:ilvl="4">
      <w:start w:val="1"/>
      <w:numFmt w:val="decimal"/>
      <w:isLgl/>
      <w:lvlText w:val="%1.%2.%3.%4.%5."/>
      <w:lvlJc w:val="start"/>
      <w:pPr>
        <w:tabs>
          <w:tab w:val="num" w:pos="0"/>
        </w:tabs>
        <w:ind w:start="1080" w:hanging="1080"/>
      </w:pPr>
      <w:rPr/>
    </w:lvl>
    <w:lvl w:ilvl="5">
      <w:start w:val="1"/>
      <w:numFmt w:val="decimal"/>
      <w:isLgl/>
      <w:lvlText w:val="%1.%2.%3.%4.%5.%6."/>
      <w:lvlJc w:val="start"/>
      <w:pPr>
        <w:tabs>
          <w:tab w:val="num" w:pos="0"/>
        </w:tabs>
        <w:ind w:start="1440" w:hanging="1440"/>
      </w:pPr>
      <w:rPr/>
    </w:lvl>
    <w:lvl w:ilvl="6">
      <w:start w:val="1"/>
      <w:numFmt w:val="decimal"/>
      <w:isLgl/>
      <w:lvlText w:val="%1.%2.%3.%4.%5.%6.%7."/>
      <w:lvlJc w:val="start"/>
      <w:pPr>
        <w:tabs>
          <w:tab w:val="num" w:pos="0"/>
        </w:tabs>
        <w:ind w:start="1440" w:hanging="1440"/>
      </w:pPr>
      <w:rPr/>
    </w:lvl>
    <w:lvl w:ilvl="7">
      <w:start w:val="1"/>
      <w:numFmt w:val="decimal"/>
      <w:isLgl/>
      <w:lvlText w:val="%1.%2.%3.%4.%5.%6.%7.%8."/>
      <w:lvlJc w:val="start"/>
      <w:pPr>
        <w:tabs>
          <w:tab w:val="num" w:pos="0"/>
        </w:tabs>
        <w:ind w:start="1800" w:hanging="1800"/>
      </w:pPr>
      <w:rPr/>
    </w:lvl>
    <w:lvl w:ilvl="8">
      <w:start w:val="1"/>
      <w:numFmt w:val="decimal"/>
      <w:isLgl/>
      <w:lvlText w:val="%1.%2.%3.%4.%5.%6.%7.%8.%9."/>
      <w:lvlJc w:val="start"/>
      <w:pPr>
        <w:tabs>
          <w:tab w:val="num" w:pos="0"/>
        </w:tabs>
        <w:ind w:start="1800" w:hanging="1800"/>
      </w:pPr>
      <w:rPr/>
    </w:lvl>
  </w:abstractNum>
  <w:abstractNum w:abstractNumId="2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30"/>
  <w:defaultTabStop w:val="708"/>
  <w:autoHyphenation w:val="true"/>
  <w:hyphenationZone w:val="0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cs-CZ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cs-CZ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59" w:before="0" w:after="160"/>
      <w:jc w:val="star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cs-CZ" w:eastAsia="en-US" w:bidi="ar-SA"/>
    </w:rPr>
  </w:style>
  <w:style w:type="paragraph" w:styleId="Heading2">
    <w:name w:val="heading 2"/>
    <w:basedOn w:val="Normal"/>
    <w:next w:val="Normal"/>
    <w:link w:val="Nadpis2Char"/>
    <w:uiPriority w:val="9"/>
    <w:semiHidden/>
    <w:unhideWhenUsed/>
    <w:qFormat/>
    <w:rsid w:val="00d73f3e"/>
    <w:pPr>
      <w:keepNext w:val="true"/>
      <w:spacing w:lineRule="auto" w:line="240" w:before="120" w:after="60"/>
      <w:jc w:val="both"/>
      <w:outlineLvl w:val="1"/>
    </w:pPr>
    <w:rPr>
      <w:rFonts w:ascii="Times New Roman" w:hAnsi="Times New Roman" w:eastAsia="Times New Roman" w:cs="Times New Roman"/>
      <w:bCs/>
      <w:iCs/>
      <w:sz w:val="24"/>
      <w:szCs w:val="28"/>
      <w:lang w:eastAsia="cs-CZ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ZhlavChar" w:customStyle="1">
    <w:name w:val="Záhlaví Char"/>
    <w:basedOn w:val="DefaultParagraphFont"/>
    <w:uiPriority w:val="99"/>
    <w:qFormat/>
    <w:rsid w:val="00d02a63"/>
    <w:rPr/>
  </w:style>
  <w:style w:type="character" w:styleId="ZpatChar" w:customStyle="1">
    <w:name w:val="Zápatí Char"/>
    <w:basedOn w:val="DefaultParagraphFont"/>
    <w:uiPriority w:val="99"/>
    <w:qFormat/>
    <w:rsid w:val="00d02a63"/>
    <w:rPr/>
  </w:style>
  <w:style w:type="character" w:styleId="Nadpis2Char" w:customStyle="1">
    <w:name w:val="Nadpis 2 Char"/>
    <w:basedOn w:val="DefaultParagraphFont"/>
    <w:uiPriority w:val="9"/>
    <w:semiHidden/>
    <w:qFormat/>
    <w:rsid w:val="00d73f3e"/>
    <w:rPr>
      <w:rFonts w:ascii="Times New Roman" w:hAnsi="Times New Roman" w:eastAsia="Times New Roman" w:cs="Times New Roman"/>
      <w:bCs/>
      <w:iCs/>
      <w:sz w:val="24"/>
      <w:szCs w:val="28"/>
      <w:lang w:eastAsia="cs-CZ"/>
    </w:rPr>
  </w:style>
  <w:style w:type="paragraph" w:styleId="Nadpis" w:customStyle="1">
    <w:name w:val="Nadpis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Rejstk" w:customStyle="1">
    <w:name w:val="Rejstřík"/>
    <w:basedOn w:val="Normal"/>
    <w:qFormat/>
    <w:pPr>
      <w:suppressLineNumbers/>
    </w:pPr>
    <w:rPr>
      <w:rFonts w:cs="Lucida Sans"/>
    </w:rPr>
  </w:style>
  <w:style w:type="paragraph" w:styleId="Nadpisuser" w:customStyle="1">
    <w:name w:val="Nadpis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Rejstkuser" w:customStyle="1">
    <w:name w:val="Rejstřík (user)"/>
    <w:basedOn w:val="Normal"/>
    <w:qFormat/>
    <w:pPr>
      <w:suppressLineNumbers/>
    </w:pPr>
    <w:rPr>
      <w:rFonts w:cs="Lucida Sans"/>
    </w:rPr>
  </w:style>
  <w:style w:type="paragraph" w:styleId="Zhlavazpatuser" w:customStyle="1">
    <w:name w:val="Záhlaví a zápatí (user)"/>
    <w:basedOn w:val="Normal"/>
    <w:qFormat/>
    <w:pPr/>
    <w:rPr/>
  </w:style>
  <w:style w:type="paragraph" w:styleId="Zhlavazpat" w:customStyle="1">
    <w:name w:val="Záhlaví a zápatí"/>
    <w:basedOn w:val="Normal"/>
    <w:qFormat/>
    <w:pPr/>
    <w:rPr/>
  </w:style>
  <w:style w:type="paragraph" w:styleId="Header">
    <w:name w:val="header"/>
    <w:basedOn w:val="Normal"/>
    <w:link w:val="ZhlavChar"/>
    <w:uiPriority w:val="99"/>
    <w:unhideWhenUsed/>
    <w:rsid w:val="00d02a63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ZpatChar"/>
    <w:uiPriority w:val="99"/>
    <w:unhideWhenUsed/>
    <w:rsid w:val="00d02a63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ListParagraph">
    <w:name w:val="List Paragraph"/>
    <w:basedOn w:val="Normal"/>
    <w:uiPriority w:val="34"/>
    <w:qFormat/>
    <w:rsid w:val="008e3389"/>
    <w:pPr>
      <w:spacing w:before="0" w:after="160"/>
      <w:ind w:start="720"/>
      <w:contextualSpacing/>
    </w:pPr>
    <w:rPr/>
  </w:style>
  <w:style w:type="paragraph" w:styleId="Default" w:customStyle="1">
    <w:name w:val="Default"/>
    <w:qFormat/>
    <w:rsid w:val="00d73f3e"/>
    <w:pPr>
      <w:widowControl/>
      <w:suppressAutoHyphens w:val="true"/>
      <w:bidi w:val="0"/>
      <w:spacing w:before="0" w:after="0"/>
      <w:jc w:val="start"/>
    </w:pPr>
    <w:rPr>
      <w:rFonts w:ascii="Arial" w:hAnsi="Arial" w:eastAsia="Calibri" w:cs="Arial"/>
      <w:color w:val="000000"/>
      <w:kern w:val="0"/>
      <w:sz w:val="24"/>
      <w:szCs w:val="24"/>
      <w:lang w:val="cs-CZ" w:eastAsia="en-US" w:bidi="ar-SA"/>
    </w:rPr>
  </w:style>
  <w:style w:type="paragraph" w:styleId="Obsahtabulky" w:customStyle="1">
    <w:name w:val="Obsah tabulky"/>
    <w:basedOn w:val="Normal"/>
    <w:qFormat/>
    <w:pPr>
      <w:widowControl w:val="false"/>
      <w:suppressLineNumbers/>
    </w:pPr>
    <w:rPr/>
  </w:style>
  <w:style w:type="paragraph" w:styleId="Nadpistabulky" w:customStyle="1">
    <w:name w:val="Nadpis tabulky"/>
    <w:basedOn w:val="Obsahtabulky"/>
    <w:qFormat/>
    <w:pPr>
      <w:jc w:val="center"/>
    </w:pPr>
    <w:rPr>
      <w:b/>
      <w:bCs/>
    </w:rPr>
  </w:style>
  <w:style w:type="numbering" w:styleId="Bezseznamuuser" w:customStyle="1">
    <w:name w:val="Bez seznamu (user)"/>
    <w:uiPriority w:val="99"/>
    <w:semiHidden/>
    <w:unhideWhenUsed/>
    <w:qFormat/>
  </w:style>
  <w:style w:type="table" w:default="1" w:styleId="Normlntabulka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Mkatabulky">
    <w:name w:val="Table Grid"/>
    <w:basedOn w:val="Normlntabulka"/>
    <w:uiPriority w:val="39"/>
    <w:rsid w:val="004a277e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numbering" Target="numbering.xml"/><Relationship Id="rId9" Type="http://schemas.openxmlformats.org/officeDocument/2006/relationships/fontTable" Target="fontTable.xml"/><Relationship Id="rId10" Type="http://schemas.openxmlformats.org/officeDocument/2006/relationships/settings" Target="settings.xml"/><Relationship Id="rId11" Type="http://schemas.openxmlformats.org/officeDocument/2006/relationships/theme" Target="theme/theme1.xml"/><Relationship Id="rId12" Type="http://schemas.openxmlformats.org/officeDocument/2006/relationships/customXml" Target="../customXml/item1.xml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1.jpeg"/><Relationship Id="rId2" Type="http://schemas.openxmlformats.org/officeDocument/2006/relationships/image" Target="media/image2.png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1.jpeg"/><Relationship Id="rId2" Type="http://schemas.openxmlformats.org/officeDocument/2006/relationships/image" Target="media/image2.png"/>
</Relationships>
</file>

<file path=word/theme/theme1.xml><?xml version="1.0" encoding="utf-8"?>
<a:theme xmlns:a="http://schemas.openxmlformats.org/drawingml/2006/main" xmlns:r="http://schemas.openxmlformats.org/officeDocument/2006/relationships" name="Motiv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FFB37A-8680-4745-9277-37E0FC4782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Application>LibreOffice/25.8.4.2$Windows_X86_64 LibreOffice_project/290daaa01b999472f0c7a3890eb6a550fd74c6df</Application>
  <AppVersion>15.0000</AppVersion>
  <Pages>4</Pages>
  <Words>1091</Words>
  <Characters>6538</Characters>
  <CharactersWithSpaces>7550</CharactersWithSpaces>
  <Paragraphs>68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2026-02-18T18:06:00Z</dcterms:created>
  <dc:creator>Vojtěch Surmař</dc:creator>
  <dc:description/>
  <dc:language>cs-CZ</dc:language>
  <cp:lastModifiedBy/>
  <cp:lastPrinted>2023-03-08T08:33:00Z</cp:lastPrinted>
  <dcterms:modified xsi:type="dcterms:W3CDTF">2026-02-20T11:01:57Z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