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firstLine="1474" w:start="0" w:end="0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Vazba na území regionu MAS – viz odstavec 2.9 níže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trvalý pobyt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 rodič dítěte účastnícího se tábora pracuje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zákonný zástupce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 pověřená osoba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odchází samostatně (uveďte čas)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start="680" w:end="0"/>
        <w:jc w:val="start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Předmětem smlouvy je úprava vztahů mezi organizátorem a zákonným zástupcem při zařazení dítěte (tj. účastníka) do komunitního tábora (dále i jen „tábor“), který se bude konat v 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termínu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27. – 31. 7. 2026 v lokalitě Korytná v čase vždy od 7:30 do 18:00.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numPr>
          <w:ilvl w:val="0"/>
          <w:numId w:val="0"/>
        </w:numPr>
        <w:spacing w:before="120" w:after="120"/>
        <w:ind w:hanging="0" w:start="7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 táborového poplatku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Táborový poplatek č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iní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2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2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00 Kč / d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ítě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je třeba uhradit nejpozději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31. 3. 2026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 před konáním tábora, na který je dítě přihlášeno, buď v hotovosti na adrese MAS Východní Slovácko, z.s. Suchá Loz 72, 687 53 Suchá Loz nebo na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bankovní účet spolku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,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č. ú: 1418048399/0800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. Při zadání platby bude do poznámky uvedeno jméno dítěte. 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Pokud je dítě přihlášeno po 31. 3. 2026, zákonný zástupce musí poplatek uhradit do 14 dnů od přihlášení.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Zákonný zástupce má právo kdykoliv před zahájením tábora od smlouvy odstoupit. Odstoupení musí být provedeno písemně (postačí e-mailem).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Přihláška se stává závaznou zaplacením. Pokud nebude tábor zaplacen, bude vaše místo nabídnuto náhradníkům.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b/>
          <w:bCs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V případě zrušení účasti účastníka je organizátor oprávněn účtovat stornopoplatek: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 w:before="120" w:after="120"/>
        <w:ind w:hanging="0" w:start="720"/>
        <w:contextualSpacing w:val="false"/>
        <w:jc w:val="both"/>
        <w:rPr>
          <w:rFonts w:ascii="Source Serif Pro" w:hAnsi="Source Serif Pro" w:eastAsia="Calibri" w:cs="ArialMT"/>
          <w:b/>
          <w:bCs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→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odhlášení do 14 dnů před začátkem tábora: 20 % z ceny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 w:before="120" w:after="120"/>
        <w:ind w:hanging="0" w:start="720"/>
        <w:contextualSpacing w:val="false"/>
        <w:jc w:val="both"/>
        <w:rPr>
          <w:rFonts w:ascii="Source Serif Pro" w:hAnsi="Source Serif Pro" w:eastAsia="Calibri" w:cs="ArialMT"/>
          <w:b/>
          <w:bCs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→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odhlášení méně než 14 dnů před začátkem tábora: 60 % z ceny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 w:before="120" w:after="120"/>
        <w:ind w:hanging="0" w:start="720"/>
        <w:contextualSpacing w:val="false"/>
        <w:jc w:val="both"/>
        <w:rPr>
          <w:b/>
          <w:bCs/>
        </w:rPr>
      </w:pP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→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při neohlášené neúčasti: 100 % z ceny tábora</w:t>
      </w:r>
    </w:p>
    <w:p>
      <w:pPr>
        <w:pStyle w:val="ListParagraph"/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4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4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Application>LibreOffice/25.8.4.2$Windows_X86_64 LibreOffice_project/290daaa01b999472f0c7a3890eb6a550fd74c6df</Application>
  <AppVersion>15.0000</AppVersion>
  <Pages>5</Pages>
  <Words>1248</Words>
  <Characters>7347</Characters>
  <CharactersWithSpaces>8544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2023-03-08T07:01:00Z</dcterms:created>
  <dc:creator>Vojtěch Surmař</dc:creator>
  <dc:description/>
  <dc:language>cs-CZ</dc:language>
  <cp:lastModifiedBy/>
  <cp:lastPrinted>2023-03-08T08:33:00Z</cp:lastPrinted>
  <dcterms:modified xsi:type="dcterms:W3CDTF">2026-02-25T08:44:10Z</dcterms:modified>
  <cp:revision>172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